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000000"/>
          <w:sz w:val="48"/>
          <w:szCs w:val="48"/>
        </w:rPr>
      </w:pPr>
      <w:r>
        <w:rPr>
          <w:rFonts w:hint="eastAsia" w:ascii="宋体" w:hAnsi="宋体" w:cs="宋体"/>
          <w:b/>
          <w:bCs/>
          <w:color w:val="000000"/>
          <w:sz w:val="48"/>
          <w:szCs w:val="48"/>
        </w:rPr>
        <w:t>智能仓储系统物流效率虚拟仿真实验</w:t>
      </w:r>
    </w:p>
    <w:p>
      <w:pPr>
        <w:spacing w:line="360" w:lineRule="auto"/>
        <w:jc w:val="center"/>
        <w:rPr>
          <w:rFonts w:ascii="宋体" w:hAnsi="宋体" w:cs="宋体"/>
          <w:b/>
          <w:bCs/>
          <w:color w:val="000000"/>
          <w:sz w:val="48"/>
          <w:szCs w:val="48"/>
        </w:rPr>
      </w:pPr>
      <w:r>
        <w:rPr>
          <w:rFonts w:hint="eastAsia" w:ascii="宋体" w:hAnsi="宋体" w:cs="宋体"/>
          <w:b/>
          <w:bCs/>
          <w:color w:val="000000"/>
          <w:sz w:val="48"/>
          <w:szCs w:val="48"/>
        </w:rPr>
        <w:t>云托管及等保服务项目</w:t>
      </w:r>
    </w:p>
    <w:p>
      <w:pPr>
        <w:spacing w:line="360" w:lineRule="auto"/>
        <w:jc w:val="center"/>
        <w:rPr>
          <w:rFonts w:ascii="宋体" w:hAnsi="宋体" w:cs="宋体"/>
          <w:b/>
          <w:bCs/>
          <w:color w:val="000000"/>
          <w:sz w:val="48"/>
          <w:szCs w:val="48"/>
        </w:rPr>
      </w:pPr>
      <w:r>
        <w:rPr>
          <w:rFonts w:hint="eastAsia" w:ascii="宋体" w:hAnsi="宋体" w:cs="宋体"/>
          <w:b/>
          <w:bCs/>
          <w:color w:val="000000"/>
          <w:sz w:val="48"/>
          <w:szCs w:val="48"/>
        </w:rPr>
        <w:t>竞争性磋商</w:t>
      </w:r>
    </w:p>
    <w:p>
      <w:pPr>
        <w:rPr>
          <w:b/>
          <w:bCs/>
          <w:sz w:val="32"/>
        </w:rPr>
      </w:pPr>
    </w:p>
    <w:p>
      <w:pPr>
        <w:rPr>
          <w:b/>
          <w:bCs/>
          <w:sz w:val="32"/>
        </w:rPr>
      </w:pPr>
    </w:p>
    <w:p>
      <w:pPr>
        <w:rPr>
          <w:b/>
          <w:bCs/>
          <w:sz w:val="32"/>
        </w:rPr>
      </w:pPr>
    </w:p>
    <w:p>
      <w:pPr>
        <w:rPr>
          <w:b/>
          <w:bCs/>
          <w:sz w:val="32"/>
        </w:rPr>
      </w:pPr>
    </w:p>
    <w:p>
      <w:pPr>
        <w:rPr>
          <w:b/>
          <w:bCs/>
          <w:sz w:val="32"/>
        </w:rPr>
      </w:pPr>
    </w:p>
    <w:p>
      <w:pPr>
        <w:jc w:val="center"/>
        <w:rPr>
          <w:b/>
          <w:bCs/>
          <w:sz w:val="32"/>
        </w:rPr>
      </w:pPr>
      <w:r>
        <w:rPr>
          <w:rFonts w:hint="eastAsia"/>
          <w:b/>
          <w:bCs/>
          <w:sz w:val="84"/>
        </w:rPr>
        <w:t>磋 商 文 件</w:t>
      </w:r>
    </w:p>
    <w:p>
      <w:pPr>
        <w:jc w:val="center"/>
        <w:rPr>
          <w:b/>
          <w:bCs/>
          <w:color w:val="000000"/>
          <w:sz w:val="32"/>
          <w:szCs w:val="32"/>
        </w:rPr>
      </w:pPr>
      <w:r>
        <w:rPr>
          <w:rFonts w:hint="eastAsia" w:ascii="宋体" w:hAnsi="宋体"/>
          <w:b/>
          <w:bCs/>
          <w:color w:val="000000"/>
          <w:sz w:val="32"/>
          <w:szCs w:val="32"/>
        </w:rPr>
        <w:t>招标</w:t>
      </w:r>
      <w:r>
        <w:rPr>
          <w:rFonts w:ascii="宋体" w:hAnsi="宋体"/>
          <w:b/>
          <w:bCs/>
          <w:color w:val="000000"/>
          <w:sz w:val="32"/>
          <w:szCs w:val="32"/>
        </w:rPr>
        <w:t>编号：</w:t>
      </w:r>
    </w:p>
    <w:p>
      <w:pPr>
        <w:rPr>
          <w:b/>
          <w:bCs/>
          <w:color w:val="000000"/>
          <w:sz w:val="32"/>
          <w:szCs w:val="32"/>
        </w:rPr>
      </w:pPr>
    </w:p>
    <w:p>
      <w:pPr>
        <w:pStyle w:val="2"/>
        <w:rPr>
          <w:b/>
          <w:bCs/>
          <w:color w:val="000000"/>
          <w:sz w:val="32"/>
          <w:szCs w:val="32"/>
        </w:rPr>
      </w:pPr>
    </w:p>
    <w:p/>
    <w:p>
      <w:pPr>
        <w:pStyle w:val="60"/>
        <w:ind w:firstLine="0" w:firstLineChars="0"/>
        <w:rPr>
          <w:rFonts w:hint="eastAsia"/>
        </w:rPr>
      </w:pPr>
    </w:p>
    <w:p>
      <w:pPr>
        <w:pStyle w:val="60"/>
        <w:ind w:firstLine="0" w:firstLineChars="0"/>
      </w:pPr>
    </w:p>
    <w:p>
      <w:pPr>
        <w:rPr>
          <w:rFonts w:ascii="宋体" w:hAnsi="宋体" w:cs="宋体"/>
          <w:b/>
          <w:bCs/>
          <w:sz w:val="32"/>
          <w:szCs w:val="32"/>
        </w:rPr>
      </w:pPr>
      <w:r>
        <w:rPr>
          <w:rFonts w:hint="eastAsia" w:ascii="宋体" w:hAnsi="宋体" w:cs="宋体"/>
          <w:b/>
          <w:bCs/>
          <w:sz w:val="32"/>
          <w:szCs w:val="32"/>
        </w:rPr>
        <w:t>采购人：</w:t>
      </w:r>
      <w:r>
        <w:rPr>
          <w:rFonts w:hint="eastAsia" w:ascii="宋体" w:hAnsi="宋体" w:cs="宋体"/>
          <w:b/>
          <w:bCs/>
          <w:color w:val="000000"/>
          <w:sz w:val="32"/>
          <w:szCs w:val="32"/>
        </w:rPr>
        <w:t xml:space="preserve">  </w:t>
      </w:r>
      <w:r>
        <w:rPr>
          <w:rFonts w:hint="eastAsia" w:ascii="宋体" w:hAnsi="宋体" w:cs="宋体"/>
          <w:b/>
          <w:bCs/>
          <w:color w:val="000000"/>
          <w:sz w:val="32"/>
          <w:szCs w:val="32"/>
          <w:lang w:val="en-US" w:eastAsia="zh-CN"/>
        </w:rPr>
        <w:t>武汉商学院工商管理学院</w:t>
      </w:r>
      <w:r>
        <w:rPr>
          <w:rFonts w:hint="eastAsia" w:ascii="宋体" w:hAnsi="宋体" w:cs="宋体"/>
          <w:b/>
          <w:bCs/>
          <w:color w:val="000000"/>
          <w:sz w:val="32"/>
          <w:szCs w:val="32"/>
        </w:rPr>
        <w:t xml:space="preserve">   </w:t>
      </w:r>
    </w:p>
    <w:p>
      <w:pPr>
        <w:ind w:right="-155" w:rightChars="-74"/>
        <w:rPr>
          <w:rFonts w:hint="eastAsia" w:ascii="宋体" w:hAnsi="宋体" w:cs="宋体"/>
          <w:b/>
          <w:bCs/>
          <w:sz w:val="30"/>
          <w:szCs w:val="30"/>
        </w:rPr>
      </w:pPr>
      <w:r>
        <w:rPr>
          <w:rFonts w:hint="eastAsia" w:ascii="宋体" w:hAnsi="宋体" w:cs="宋体"/>
          <w:b/>
          <w:bCs/>
          <w:sz w:val="32"/>
          <w:szCs w:val="32"/>
        </w:rPr>
        <w:t>项目名称：</w:t>
      </w:r>
      <w:r>
        <w:rPr>
          <w:rFonts w:hint="eastAsia" w:ascii="宋体" w:hAnsi="宋体" w:cs="宋体"/>
          <w:b/>
          <w:bCs/>
          <w:sz w:val="30"/>
          <w:szCs w:val="30"/>
        </w:rPr>
        <w:t>智能仓储系统物流效率虚拟仿真实验云托管及等保服务项目</w:t>
      </w:r>
    </w:p>
    <w:p>
      <w:pPr>
        <w:rPr>
          <w:rFonts w:ascii="宋体" w:hAnsi="宋体" w:cs="宋体"/>
          <w:b/>
          <w:bCs/>
          <w:sz w:val="32"/>
          <w:szCs w:val="32"/>
        </w:rPr>
      </w:pPr>
      <w:r>
        <w:rPr>
          <w:rFonts w:hint="eastAsia" w:ascii="宋体" w:hAnsi="宋体" w:cs="宋体"/>
          <w:b/>
          <w:bCs/>
          <w:sz w:val="32"/>
          <w:szCs w:val="32"/>
        </w:rPr>
        <w:t>日期：</w:t>
      </w:r>
      <w:r>
        <w:rPr>
          <w:rFonts w:hint="eastAsia" w:ascii="宋体" w:hAnsi="宋体" w:cs="宋体"/>
          <w:b/>
          <w:bCs/>
          <w:sz w:val="30"/>
          <w:szCs w:val="30"/>
        </w:rPr>
        <w:t>2023年12月</w:t>
      </w:r>
    </w:p>
    <w:p>
      <w:pPr>
        <w:pStyle w:val="2"/>
      </w:pPr>
    </w:p>
    <w:p>
      <w:pPr>
        <w:rPr>
          <w:rFonts w:ascii="宋体" w:hAnsi="宋体"/>
          <w:b/>
          <w:bCs/>
          <w:sz w:val="32"/>
          <w:szCs w:val="32"/>
        </w:rPr>
      </w:pPr>
      <w:r>
        <w:rPr>
          <w:rFonts w:hint="eastAsia" w:ascii="宋体" w:hAnsi="宋体"/>
          <w:b/>
          <w:bCs/>
          <w:sz w:val="32"/>
          <w:szCs w:val="32"/>
        </w:rPr>
        <w:br w:type="page"/>
      </w:r>
    </w:p>
    <w:p>
      <w:pPr>
        <w:jc w:val="center"/>
        <w:rPr>
          <w:rFonts w:ascii="宋体" w:hAnsi="宋体"/>
          <w:b/>
          <w:bCs/>
          <w:sz w:val="32"/>
          <w:szCs w:val="32"/>
        </w:rPr>
      </w:pPr>
      <w:r>
        <w:rPr>
          <w:rFonts w:hint="eastAsia" w:ascii="宋体" w:hAnsi="宋体"/>
          <w:b/>
          <w:bCs/>
          <w:sz w:val="32"/>
          <w:szCs w:val="32"/>
        </w:rPr>
        <w:t>目　　 录</w:t>
      </w:r>
    </w:p>
    <w:p>
      <w:pPr>
        <w:spacing w:line="360" w:lineRule="auto"/>
        <w:rPr>
          <w:rFonts w:ascii="宋体" w:hAnsi="宋体"/>
          <w:b/>
          <w:bCs/>
          <w:sz w:val="24"/>
        </w:rPr>
      </w:pPr>
      <w:r>
        <w:rPr>
          <w:rFonts w:ascii="宋体" w:hAnsi="宋体"/>
          <w:b/>
          <w:bCs/>
          <w:sz w:val="24"/>
        </w:rPr>
        <w:tab/>
      </w:r>
    </w:p>
    <w:p>
      <w:pPr>
        <w:spacing w:line="360" w:lineRule="auto"/>
        <w:ind w:left="2340"/>
        <w:rPr>
          <w:rFonts w:ascii="宋体" w:hAnsi="宋体"/>
          <w:b/>
          <w:bCs/>
          <w:sz w:val="28"/>
          <w:szCs w:val="28"/>
        </w:rPr>
      </w:pPr>
      <w:r>
        <w:rPr>
          <w:rFonts w:hint="eastAsia" w:ascii="宋体" w:hAnsi="宋体"/>
          <w:b/>
          <w:bCs/>
          <w:sz w:val="28"/>
          <w:szCs w:val="28"/>
        </w:rPr>
        <w:t xml:space="preserve">第一章  </w:t>
      </w:r>
      <w:r>
        <w:rPr>
          <w:rFonts w:ascii="宋体" w:hAnsi="宋体"/>
          <w:b/>
          <w:bCs/>
          <w:sz w:val="28"/>
          <w:szCs w:val="28"/>
        </w:rPr>
        <w:t>竞争性磋商</w:t>
      </w:r>
      <w:r>
        <w:rPr>
          <w:rFonts w:hint="eastAsia" w:ascii="宋体" w:hAnsi="宋体"/>
          <w:b/>
          <w:bCs/>
          <w:sz w:val="28"/>
          <w:szCs w:val="28"/>
        </w:rPr>
        <w:t>公告</w:t>
      </w:r>
    </w:p>
    <w:p>
      <w:pPr>
        <w:spacing w:line="360" w:lineRule="auto"/>
        <w:ind w:left="2340"/>
        <w:rPr>
          <w:rFonts w:ascii="宋体" w:hAnsi="宋体"/>
          <w:b/>
          <w:bCs/>
          <w:sz w:val="28"/>
          <w:szCs w:val="28"/>
        </w:rPr>
      </w:pPr>
      <w:r>
        <w:rPr>
          <w:rFonts w:hint="eastAsia" w:ascii="宋体" w:hAnsi="宋体"/>
          <w:b/>
          <w:bCs/>
          <w:sz w:val="28"/>
          <w:szCs w:val="28"/>
        </w:rPr>
        <w:t>第二章  磋商报价申请人须知及前附表</w:t>
      </w:r>
    </w:p>
    <w:p>
      <w:pPr>
        <w:spacing w:line="360" w:lineRule="auto"/>
        <w:ind w:left="2340"/>
        <w:rPr>
          <w:rFonts w:ascii="宋体" w:hAnsi="宋体"/>
          <w:b/>
          <w:bCs/>
          <w:sz w:val="28"/>
          <w:szCs w:val="28"/>
        </w:rPr>
      </w:pPr>
      <w:r>
        <w:rPr>
          <w:rFonts w:hint="eastAsia" w:ascii="宋体" w:hAnsi="宋体"/>
          <w:b/>
          <w:bCs/>
          <w:sz w:val="28"/>
          <w:szCs w:val="28"/>
        </w:rPr>
        <w:t>第三章  合同书样式及主要条款</w:t>
      </w:r>
    </w:p>
    <w:p>
      <w:pPr>
        <w:spacing w:line="360" w:lineRule="auto"/>
        <w:ind w:left="2340"/>
        <w:rPr>
          <w:rFonts w:ascii="宋体" w:hAnsi="宋体"/>
          <w:b/>
          <w:bCs/>
          <w:kern w:val="0"/>
          <w:sz w:val="28"/>
          <w:szCs w:val="28"/>
        </w:rPr>
      </w:pPr>
      <w:r>
        <w:rPr>
          <w:rFonts w:hint="eastAsia" w:ascii="宋体" w:hAnsi="宋体"/>
          <w:b/>
          <w:bCs/>
          <w:kern w:val="0"/>
          <w:sz w:val="28"/>
          <w:szCs w:val="28"/>
        </w:rPr>
        <w:t>第四章  竞争性磋商申请文件格式</w:t>
      </w:r>
    </w:p>
    <w:p>
      <w:pPr>
        <w:spacing w:line="360" w:lineRule="auto"/>
        <w:ind w:left="2340"/>
        <w:rPr>
          <w:rFonts w:ascii="宋体" w:hAnsi="宋体"/>
          <w:b/>
          <w:bCs/>
          <w:sz w:val="28"/>
          <w:szCs w:val="28"/>
        </w:rPr>
      </w:pPr>
      <w:r>
        <w:rPr>
          <w:rFonts w:hint="eastAsia" w:ascii="宋体" w:hAnsi="宋体"/>
          <w:b/>
          <w:bCs/>
          <w:sz w:val="28"/>
          <w:szCs w:val="28"/>
        </w:rPr>
        <w:t>第五章  采购需求</w:t>
      </w:r>
    </w:p>
    <w:p>
      <w:pPr>
        <w:spacing w:line="360" w:lineRule="auto"/>
        <w:ind w:left="2340"/>
        <w:rPr>
          <w:rFonts w:ascii="宋体" w:hAnsi="宋体"/>
          <w:b/>
          <w:bCs/>
          <w:sz w:val="28"/>
          <w:szCs w:val="28"/>
        </w:rPr>
      </w:pPr>
      <w:r>
        <w:rPr>
          <w:rFonts w:hint="eastAsia" w:ascii="宋体" w:hAnsi="宋体"/>
          <w:b/>
          <w:bCs/>
          <w:sz w:val="28"/>
          <w:szCs w:val="28"/>
        </w:rPr>
        <w:t>第六章  竞争性磋商办法</w:t>
      </w:r>
    </w:p>
    <w:p>
      <w:pPr>
        <w:spacing w:line="360" w:lineRule="auto"/>
        <w:rPr>
          <w:rFonts w:ascii="宋体" w:hAnsi="宋体"/>
          <w:b/>
          <w:caps/>
          <w:color w:val="000000"/>
          <w:kern w:val="0"/>
          <w:sz w:val="24"/>
        </w:rPr>
      </w:pPr>
    </w:p>
    <w:p>
      <w:pPr>
        <w:spacing w:line="420" w:lineRule="exact"/>
        <w:jc w:val="center"/>
        <w:rPr>
          <w:rFonts w:ascii="宋体" w:hAnsi="宋体"/>
          <w:sz w:val="24"/>
        </w:rPr>
      </w:pPr>
      <w:bookmarkStart w:id="0" w:name="_Toc17009831"/>
      <w:r>
        <w:rPr>
          <w:kern w:val="28"/>
          <w:sz w:val="36"/>
          <w:szCs w:val="36"/>
        </w:rPr>
        <w:br w:type="page"/>
      </w:r>
      <w:r>
        <w:rPr>
          <w:rFonts w:ascii="宋体" w:hAnsi="宋体"/>
          <w:b/>
          <w:bCs/>
          <w:color w:val="000000"/>
          <w:sz w:val="32"/>
        </w:rPr>
        <w:t>第一章</w:t>
      </w:r>
      <w:bookmarkEnd w:id="0"/>
      <w:r>
        <w:rPr>
          <w:rFonts w:hint="eastAsia" w:ascii="宋体" w:hAnsi="宋体"/>
          <w:b/>
          <w:bCs/>
          <w:color w:val="000000"/>
          <w:sz w:val="32"/>
        </w:rPr>
        <w:t xml:space="preserve">  </w:t>
      </w:r>
      <w:r>
        <w:rPr>
          <w:rFonts w:ascii="宋体" w:hAnsi="宋体"/>
          <w:b/>
          <w:bCs/>
          <w:color w:val="000000"/>
          <w:sz w:val="32"/>
        </w:rPr>
        <w:t>竞争性磋商</w:t>
      </w:r>
      <w:r>
        <w:rPr>
          <w:rFonts w:hint="eastAsia" w:ascii="宋体" w:hAnsi="宋体"/>
          <w:b/>
          <w:bCs/>
          <w:color w:val="000000"/>
          <w:sz w:val="32"/>
        </w:rPr>
        <w:t>公告</w:t>
      </w:r>
    </w:p>
    <w:p>
      <w:pPr>
        <w:pStyle w:val="4"/>
        <w:tabs>
          <w:tab w:val="left" w:pos="0"/>
        </w:tabs>
        <w:autoSpaceDE w:val="0"/>
        <w:autoSpaceDN w:val="0"/>
        <w:adjustRightInd w:val="0"/>
        <w:spacing w:line="360" w:lineRule="auto"/>
        <w:rPr>
          <w:rFonts w:ascii="宋体" w:hAnsi="宋体" w:eastAsia="宋体" w:cs="宋体"/>
          <w:bCs/>
          <w:sz w:val="30"/>
          <w:szCs w:val="30"/>
        </w:rPr>
      </w:pPr>
      <w:bookmarkStart w:id="1" w:name="_Toc28359011"/>
      <w:bookmarkStart w:id="2" w:name="_Toc35393797"/>
      <w:r>
        <w:rPr>
          <w:rFonts w:hint="eastAsia" w:ascii="宋体" w:hAnsi="宋体" w:eastAsia="宋体" w:cs="宋体"/>
          <w:bCs/>
          <w:sz w:val="30"/>
          <w:szCs w:val="30"/>
        </w:rPr>
        <w:t xml:space="preserve"> 虚拟仿真实验课程</w:t>
      </w:r>
    </w:p>
    <w:p>
      <w:pPr>
        <w:pStyle w:val="4"/>
        <w:tabs>
          <w:tab w:val="left" w:pos="0"/>
        </w:tabs>
        <w:autoSpaceDE w:val="0"/>
        <w:autoSpaceDN w:val="0"/>
        <w:adjustRightInd w:val="0"/>
        <w:spacing w:line="360" w:lineRule="auto"/>
        <w:rPr>
          <w:rFonts w:ascii="宋体" w:hAnsi="宋体" w:eastAsia="宋体" w:cs="宋体"/>
          <w:bCs/>
          <w:sz w:val="30"/>
          <w:szCs w:val="30"/>
          <w:u w:val="single"/>
        </w:rPr>
      </w:pPr>
      <w:r>
        <w:rPr>
          <w:rFonts w:hint="eastAsia" w:ascii="宋体" w:hAnsi="宋体" w:eastAsia="宋体" w:cs="宋体"/>
          <w:bCs/>
          <w:sz w:val="30"/>
          <w:szCs w:val="30"/>
        </w:rPr>
        <w:t>竞争性磋商公告</w:t>
      </w:r>
      <w:bookmarkEnd w:id="1"/>
      <w:bookmarkEnd w:id="2"/>
    </w:p>
    <w:p>
      <w:pPr>
        <w:spacing w:line="360" w:lineRule="auto"/>
        <w:ind w:firstLine="480" w:firstLineChars="200"/>
        <w:rPr>
          <w:rFonts w:ascii="宋体" w:hAnsi="宋体" w:cs="宋体"/>
          <w:sz w:val="24"/>
        </w:rPr>
      </w:pPr>
      <w:r>
        <w:rPr>
          <w:rFonts w:hint="eastAsia" w:ascii="宋体" w:hAnsi="宋体" w:cs="宋体"/>
          <w:color w:val="000000"/>
          <w:sz w:val="24"/>
          <w:u w:val="single"/>
        </w:rPr>
        <w:t>智能仓储系统物流效率虚拟仿真实验云托管及等保服务项目</w:t>
      </w:r>
      <w:r>
        <w:rPr>
          <w:rFonts w:hint="eastAsia" w:ascii="宋体" w:hAnsi="宋体" w:cs="宋体"/>
          <w:sz w:val="24"/>
        </w:rPr>
        <w:t>的潜在供应商应在</w:t>
      </w:r>
      <w:r>
        <w:rPr>
          <w:rFonts w:hint="eastAsia" w:ascii="宋体" w:hAnsi="宋体" w:cs="宋体"/>
          <w:sz w:val="24"/>
          <w:u w:val="single"/>
        </w:rPr>
        <w:t xml:space="preserve">  </w:t>
      </w:r>
      <w:r>
        <w:rPr>
          <w:rFonts w:hint="eastAsia" w:ascii="宋体" w:hAnsi="宋体" w:cs="宋体"/>
          <w:sz w:val="24"/>
          <w:u w:val="single"/>
          <w:lang w:val="en-US" w:eastAsia="zh-CN"/>
        </w:rPr>
        <w:t>工商管理学院官网</w:t>
      </w:r>
      <w:r>
        <w:rPr>
          <w:rFonts w:hint="eastAsia" w:ascii="宋体" w:hAnsi="宋体" w:cs="宋体"/>
          <w:sz w:val="24"/>
          <w:u w:val="single"/>
        </w:rPr>
        <w:t xml:space="preserve">  </w:t>
      </w:r>
      <w:r>
        <w:rPr>
          <w:rFonts w:hint="eastAsia" w:ascii="宋体" w:hAnsi="宋体" w:cs="宋体"/>
          <w:sz w:val="24"/>
        </w:rPr>
        <w:t>获取招标文件，并于</w:t>
      </w:r>
      <w:r>
        <w:rPr>
          <w:rFonts w:hint="eastAsia" w:ascii="宋体" w:hAnsi="宋体" w:cs="宋体"/>
          <w:sz w:val="24"/>
          <w:u w:val="single"/>
        </w:rPr>
        <w:t>202</w:t>
      </w:r>
      <w:r>
        <w:rPr>
          <w:rFonts w:hint="eastAsia" w:ascii="宋体" w:hAnsi="宋体" w:cs="宋体"/>
          <w:sz w:val="24"/>
          <w:u w:val="single"/>
          <w:lang w:val="en-US" w:eastAsia="zh-CN"/>
        </w:rPr>
        <w:t>4</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lang w:val="en-US" w:eastAsia="zh-CN"/>
        </w:rPr>
        <w:t>4</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u w:val="single"/>
        </w:rPr>
        <w:t>11</w:t>
      </w:r>
      <w:r>
        <w:rPr>
          <w:rFonts w:hint="eastAsia" w:ascii="宋体" w:hAnsi="宋体" w:cs="宋体"/>
          <w:sz w:val="24"/>
          <w:u w:val="single"/>
        </w:rPr>
        <w:t>时30分</w:t>
      </w:r>
      <w:r>
        <w:rPr>
          <w:rFonts w:hint="eastAsia" w:ascii="宋体" w:hAnsi="宋体" w:cs="宋体"/>
          <w:sz w:val="24"/>
        </w:rPr>
        <w:t>（北京时间）前提交响应文件。</w:t>
      </w:r>
    </w:p>
    <w:p>
      <w:pPr>
        <w:pStyle w:val="5"/>
        <w:spacing w:line="360" w:lineRule="auto"/>
        <w:jc w:val="both"/>
        <w:rPr>
          <w:rFonts w:ascii="宋体" w:eastAsia="宋体" w:cs="宋体"/>
          <w:bCs w:val="0"/>
          <w:sz w:val="24"/>
          <w:szCs w:val="24"/>
        </w:rPr>
      </w:pPr>
      <w:bookmarkStart w:id="3" w:name="_Toc35393798"/>
      <w:bookmarkStart w:id="4" w:name="_Toc28359089"/>
      <w:bookmarkStart w:id="5" w:name="_Toc28359012"/>
      <w:bookmarkStart w:id="6" w:name="_Toc35393629"/>
      <w:r>
        <w:rPr>
          <w:rFonts w:hint="eastAsia" w:ascii="宋体" w:eastAsia="宋体" w:cs="宋体"/>
          <w:bCs w:val="0"/>
          <w:sz w:val="24"/>
          <w:szCs w:val="24"/>
        </w:rPr>
        <w:t>一、项目基本情况</w:t>
      </w:r>
      <w:bookmarkEnd w:id="3"/>
      <w:bookmarkEnd w:id="4"/>
      <w:bookmarkEnd w:id="5"/>
      <w:bookmarkEnd w:id="6"/>
    </w:p>
    <w:p>
      <w:pPr>
        <w:spacing w:line="360" w:lineRule="auto"/>
        <w:ind w:firstLine="480" w:firstLineChars="200"/>
        <w:rPr>
          <w:rFonts w:ascii="宋体" w:hAnsi="宋体" w:cs="宋体"/>
          <w:sz w:val="24"/>
        </w:rPr>
      </w:pPr>
      <w:r>
        <w:rPr>
          <w:rFonts w:hint="eastAsia" w:ascii="宋体" w:hAnsi="宋体" w:cs="宋体"/>
          <w:sz w:val="24"/>
        </w:rPr>
        <w:t>项目编号：</w:t>
      </w:r>
    </w:p>
    <w:p>
      <w:pPr>
        <w:spacing w:line="360" w:lineRule="auto"/>
        <w:ind w:firstLine="480" w:firstLineChars="200"/>
        <w:rPr>
          <w:rFonts w:hint="eastAsia" w:ascii="宋体" w:hAnsi="宋体" w:cs="宋体"/>
          <w:sz w:val="24"/>
        </w:rPr>
      </w:pPr>
      <w:r>
        <w:rPr>
          <w:rFonts w:hint="eastAsia" w:ascii="宋体" w:hAnsi="宋体" w:cs="宋体"/>
          <w:sz w:val="24"/>
        </w:rPr>
        <w:t>项目名称：智能仓储系统物流效率虚拟仿真实验云托管及等保服务项目；</w:t>
      </w:r>
    </w:p>
    <w:p>
      <w:pPr>
        <w:spacing w:line="360" w:lineRule="auto"/>
        <w:ind w:firstLine="480" w:firstLineChars="200"/>
        <w:rPr>
          <w:rFonts w:ascii="宋体" w:hAnsi="宋体" w:cs="宋体"/>
          <w:sz w:val="24"/>
        </w:rPr>
      </w:pPr>
      <w:r>
        <w:rPr>
          <w:rFonts w:hint="eastAsia" w:ascii="宋体" w:hAnsi="宋体" w:cs="宋体"/>
          <w:sz w:val="24"/>
        </w:rPr>
        <w:t>采购方式：竞争性磋商；</w:t>
      </w:r>
    </w:p>
    <w:p>
      <w:pPr>
        <w:spacing w:line="360" w:lineRule="auto"/>
        <w:ind w:firstLine="480" w:firstLineChars="200"/>
        <w:rPr>
          <w:rFonts w:ascii="宋体" w:hAnsi="宋体" w:cs="宋体"/>
          <w:sz w:val="24"/>
          <w:highlight w:val="yellow"/>
        </w:rPr>
      </w:pPr>
      <w:r>
        <w:rPr>
          <w:rFonts w:hint="eastAsia" w:ascii="宋体" w:hAnsi="宋体" w:cs="宋体"/>
          <w:sz w:val="24"/>
        </w:rPr>
        <w:t>预算金额：</w:t>
      </w:r>
      <w:r>
        <w:rPr>
          <w:rFonts w:hint="eastAsia" w:ascii="宋体" w:hAnsi="宋体" w:cs="宋体"/>
          <w:sz w:val="24"/>
          <w:lang w:val="en-US" w:eastAsia="zh-CN"/>
        </w:rPr>
        <w:t>13</w:t>
      </w:r>
      <w:r>
        <w:rPr>
          <w:rFonts w:hint="eastAsia" w:ascii="宋体" w:hAnsi="宋体" w:cs="宋体"/>
          <w:sz w:val="24"/>
        </w:rPr>
        <w:t>万元；</w:t>
      </w:r>
    </w:p>
    <w:p>
      <w:pPr>
        <w:spacing w:line="360" w:lineRule="auto"/>
        <w:ind w:firstLine="480" w:firstLineChars="200"/>
        <w:rPr>
          <w:rFonts w:ascii="宋体" w:hAnsi="宋体" w:cs="宋体"/>
          <w:color w:val="000000"/>
          <w:sz w:val="24"/>
        </w:rPr>
      </w:pPr>
      <w:r>
        <w:rPr>
          <w:rFonts w:hint="eastAsia" w:ascii="宋体" w:hAnsi="宋体" w:cs="宋体"/>
          <w:sz w:val="24"/>
        </w:rPr>
        <w:t>采购需求：1、系统服务器云托管、2、信息系统等级保护测评服务</w:t>
      </w:r>
    </w:p>
    <w:p>
      <w:pPr>
        <w:spacing w:line="360" w:lineRule="auto"/>
        <w:ind w:firstLine="480" w:firstLineChars="200"/>
        <w:rPr>
          <w:rFonts w:ascii="宋体" w:hAnsi="宋体" w:cs="宋体"/>
          <w:sz w:val="24"/>
        </w:rPr>
      </w:pPr>
      <w:r>
        <w:rPr>
          <w:rFonts w:hint="eastAsia" w:ascii="宋体" w:hAnsi="宋体" w:cs="宋体"/>
          <w:color w:val="000000"/>
          <w:sz w:val="24"/>
        </w:rPr>
        <w:t>采购</w:t>
      </w:r>
      <w:r>
        <w:rPr>
          <w:rFonts w:hint="eastAsia" w:ascii="宋体" w:hAnsi="宋体" w:cs="宋体"/>
          <w:sz w:val="24"/>
        </w:rPr>
        <w:t>清单如下：</w:t>
      </w:r>
    </w:p>
    <w:tbl>
      <w:tblPr>
        <w:tblStyle w:val="42"/>
        <w:tblW w:w="9716" w:type="dxa"/>
        <w:tblInd w:w="0" w:type="dxa"/>
        <w:tblLayout w:type="fixed"/>
        <w:tblCellMar>
          <w:top w:w="0" w:type="dxa"/>
          <w:left w:w="0" w:type="dxa"/>
          <w:bottom w:w="0" w:type="dxa"/>
          <w:right w:w="0" w:type="dxa"/>
        </w:tblCellMar>
      </w:tblPr>
      <w:tblGrid>
        <w:gridCol w:w="692"/>
        <w:gridCol w:w="4325"/>
        <w:gridCol w:w="1531"/>
        <w:gridCol w:w="1584"/>
        <w:gridCol w:w="1584"/>
      </w:tblGrid>
      <w:tr>
        <w:tblPrEx>
          <w:tblCellMar>
            <w:top w:w="0" w:type="dxa"/>
            <w:left w:w="0" w:type="dxa"/>
            <w:bottom w:w="0" w:type="dxa"/>
            <w:right w:w="0" w:type="dxa"/>
          </w:tblCellMar>
        </w:tblPrEx>
        <w:trPr>
          <w:trHeight w:val="46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hint="eastAsia" w:ascii="宋体" w:hAnsi="宋体" w:cs="宋体"/>
                <w:sz w:val="24"/>
              </w:rPr>
            </w:pPr>
            <w:r>
              <w:rPr>
                <w:rFonts w:hint="eastAsia" w:ascii="宋体" w:hAnsi="宋体" w:cs="宋体"/>
                <w:sz w:val="24"/>
              </w:rPr>
              <w:t>序号</w:t>
            </w:r>
          </w:p>
        </w:tc>
        <w:tc>
          <w:tcPr>
            <w:tcW w:w="4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宋体" w:hAnsi="宋体" w:cs="宋体"/>
                <w:sz w:val="24"/>
              </w:rPr>
            </w:pPr>
            <w:r>
              <w:rPr>
                <w:rFonts w:hint="eastAsia" w:ascii="宋体" w:hAnsi="宋体" w:cs="宋体"/>
                <w:sz w:val="24"/>
              </w:rPr>
              <w:t>服务名称</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宋体" w:hAnsi="宋体" w:cs="宋体"/>
                <w:sz w:val="24"/>
              </w:rPr>
            </w:pPr>
            <w:r>
              <w:rPr>
                <w:rFonts w:hint="eastAsia" w:ascii="宋体" w:hAnsi="宋体" w:cs="宋体"/>
                <w:sz w:val="24"/>
              </w:rPr>
              <w:t>数量</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宋体" w:hAnsi="宋体" w:cs="宋体"/>
                <w:sz w:val="24"/>
              </w:rPr>
            </w:pPr>
            <w:r>
              <w:rPr>
                <w:rFonts w:hint="eastAsia" w:ascii="宋体" w:hAnsi="宋体" w:cs="宋体"/>
                <w:sz w:val="24"/>
              </w:rPr>
              <w:t>单位</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宋体" w:hAnsi="宋体" w:cs="宋体"/>
                <w:sz w:val="24"/>
              </w:rPr>
            </w:pPr>
            <w:r>
              <w:rPr>
                <w:rFonts w:hint="eastAsia" w:ascii="宋体" w:hAnsi="宋体" w:cs="宋体"/>
                <w:sz w:val="24"/>
              </w:rPr>
              <w:t>备注</w:t>
            </w:r>
          </w:p>
        </w:tc>
      </w:tr>
      <w:tr>
        <w:tblPrEx>
          <w:tblCellMar>
            <w:top w:w="0" w:type="dxa"/>
            <w:left w:w="0" w:type="dxa"/>
            <w:bottom w:w="0" w:type="dxa"/>
            <w:right w:w="0" w:type="dxa"/>
          </w:tblCellMar>
        </w:tblPrEx>
        <w:trPr>
          <w:trHeight w:val="29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4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hint="eastAsia" w:ascii="宋体" w:hAnsi="宋体" w:cs="宋体"/>
                <w:sz w:val="24"/>
              </w:rPr>
            </w:pPr>
            <w:r>
              <w:rPr>
                <w:rFonts w:hint="eastAsia" w:ascii="宋体" w:hAnsi="宋体" w:cs="宋体"/>
                <w:sz w:val="24"/>
              </w:rPr>
              <w:t>智能仓储系统物流效率虚拟仿真实验系统等保测评服务</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rPr>
            </w:pPr>
            <w:r>
              <w:rPr>
                <w:rFonts w:hint="eastAsia" w:ascii="宋体" w:hAnsi="宋体" w:cs="宋体"/>
                <w:sz w:val="24"/>
              </w:rPr>
              <w:t>二级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rPr>
            </w:pPr>
            <w:r>
              <w:rPr>
                <w:rFonts w:hint="eastAsia" w:ascii="宋体" w:hAnsi="宋体" w:cs="宋体"/>
                <w:sz w:val="24"/>
              </w:rPr>
              <w:t>/</w:t>
            </w:r>
          </w:p>
        </w:tc>
      </w:tr>
      <w:tr>
        <w:tblPrEx>
          <w:tblCellMar>
            <w:top w:w="0" w:type="dxa"/>
            <w:left w:w="0" w:type="dxa"/>
            <w:bottom w:w="0" w:type="dxa"/>
            <w:right w:w="0" w:type="dxa"/>
          </w:tblCellMar>
        </w:tblPrEx>
        <w:trPr>
          <w:trHeight w:val="30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4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hint="eastAsia" w:ascii="宋体" w:hAnsi="宋体" w:cs="宋体"/>
                <w:sz w:val="24"/>
              </w:rPr>
            </w:pPr>
            <w:r>
              <w:rPr>
                <w:rFonts w:hint="eastAsia" w:ascii="宋体" w:hAnsi="宋体" w:cs="宋体"/>
                <w:sz w:val="24"/>
              </w:rPr>
              <w:t>系统服务器云托管</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rPr>
            </w:pPr>
            <w:r>
              <w:rPr>
                <w:rFonts w:hint="eastAsia" w:ascii="宋体" w:hAnsi="宋体" w:cs="宋体"/>
                <w:sz w:val="24"/>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rPr>
            </w:pPr>
            <w:r>
              <w:rPr>
                <w:rFonts w:hint="eastAsia" w:ascii="宋体" w:hAnsi="宋体" w:cs="宋体"/>
                <w:sz w:val="24"/>
              </w:rPr>
              <w:t>/</w:t>
            </w:r>
          </w:p>
        </w:tc>
      </w:tr>
    </w:tbl>
    <w:p>
      <w:pPr>
        <w:spacing w:line="360" w:lineRule="auto"/>
        <w:ind w:firstLine="480" w:firstLineChars="200"/>
        <w:rPr>
          <w:rFonts w:hint="eastAsia" w:ascii="宋体" w:hAnsi="宋体" w:cs="宋体"/>
          <w:sz w:val="24"/>
        </w:rPr>
      </w:pPr>
      <w:r>
        <w:rPr>
          <w:rFonts w:hint="eastAsia" w:ascii="宋体" w:hAnsi="宋体" w:cs="宋体"/>
          <w:sz w:val="24"/>
        </w:rPr>
        <w:t>标段划分：本项目划分为1个标段；</w:t>
      </w:r>
    </w:p>
    <w:p>
      <w:pPr>
        <w:spacing w:line="360" w:lineRule="auto"/>
        <w:ind w:firstLine="480" w:firstLineChars="200"/>
        <w:rPr>
          <w:rFonts w:hint="eastAsia" w:ascii="宋体" w:hAnsi="宋体" w:cs="宋体"/>
          <w:sz w:val="24"/>
        </w:rPr>
      </w:pPr>
      <w:r>
        <w:rPr>
          <w:rFonts w:hint="eastAsia" w:ascii="宋体" w:hAnsi="宋体" w:cs="宋体"/>
          <w:sz w:val="24"/>
        </w:rPr>
        <w:t>合同履行期限：项目具备测评条件之日起60个工作日内完成等级测评工作(网络安全建设整改不含在项目工期内)。</w:t>
      </w:r>
    </w:p>
    <w:p>
      <w:pPr>
        <w:tabs>
          <w:tab w:val="center" w:pos="4819"/>
        </w:tabs>
        <w:spacing w:line="360" w:lineRule="auto"/>
        <w:ind w:firstLine="480" w:firstLineChars="200"/>
        <w:rPr>
          <w:rFonts w:ascii="宋体" w:hAnsi="宋体" w:cs="宋体"/>
          <w:sz w:val="24"/>
        </w:rPr>
      </w:pPr>
      <w:r>
        <w:rPr>
          <w:rFonts w:hint="eastAsia" w:ascii="宋体" w:hAnsi="宋体" w:cs="宋体"/>
          <w:sz w:val="24"/>
        </w:rPr>
        <w:t>本项目不接受联合体。</w:t>
      </w:r>
    </w:p>
    <w:p>
      <w:pPr>
        <w:pStyle w:val="5"/>
        <w:spacing w:line="360" w:lineRule="auto"/>
        <w:jc w:val="both"/>
        <w:rPr>
          <w:rFonts w:hint="eastAsia" w:ascii="宋体" w:hAnsi="宋体" w:cs="宋体"/>
          <w:sz w:val="24"/>
        </w:rPr>
      </w:pPr>
      <w:bookmarkStart w:id="7" w:name="_Toc28359090"/>
      <w:bookmarkStart w:id="8" w:name="_Toc28359013"/>
      <w:bookmarkStart w:id="9" w:name="_Toc35393799"/>
      <w:bookmarkStart w:id="10" w:name="_Toc35393630"/>
      <w:r>
        <w:rPr>
          <w:rFonts w:hint="eastAsia" w:ascii="宋体" w:eastAsia="宋体" w:cs="宋体"/>
          <w:bCs w:val="0"/>
          <w:sz w:val="24"/>
          <w:szCs w:val="24"/>
        </w:rPr>
        <w:t>二、申请人的资格要求：</w:t>
      </w:r>
      <w:bookmarkEnd w:id="7"/>
      <w:bookmarkEnd w:id="8"/>
      <w:bookmarkEnd w:id="9"/>
      <w:bookmarkEnd w:id="10"/>
      <w:bookmarkStart w:id="11" w:name="_Toc35393631"/>
      <w:bookmarkStart w:id="12" w:name="_Toc28359014"/>
      <w:bookmarkStart w:id="13" w:name="_Toc35393800"/>
      <w:bookmarkStart w:id="14" w:name="_Toc28359091"/>
    </w:p>
    <w:p>
      <w:pPr>
        <w:spacing w:line="360" w:lineRule="auto"/>
        <w:ind w:firstLine="480" w:firstLineChars="200"/>
        <w:rPr>
          <w:rFonts w:hint="eastAsia" w:ascii="宋体" w:hAnsi="宋体" w:cs="宋体"/>
          <w:sz w:val="24"/>
        </w:rPr>
      </w:pPr>
      <w:r>
        <w:rPr>
          <w:rFonts w:hint="eastAsia" w:ascii="宋体" w:hAnsi="宋体" w:cs="宋体"/>
          <w:sz w:val="24"/>
        </w:rPr>
        <w:t>1、竞标单位必须注册于中华人民共和国境内，具有相应经营范围并取得独立法人资格，提供营业执照、税务登记证、组织机构代码证。</w:t>
      </w:r>
    </w:p>
    <w:p>
      <w:pPr>
        <w:spacing w:line="360" w:lineRule="auto"/>
        <w:ind w:firstLine="480" w:firstLineChars="200"/>
        <w:rPr>
          <w:rFonts w:hint="eastAsia" w:ascii="宋体" w:hAnsi="宋体" w:cs="宋体"/>
          <w:sz w:val="24"/>
        </w:rPr>
      </w:pPr>
      <w:r>
        <w:rPr>
          <w:rFonts w:hint="eastAsia" w:ascii="宋体" w:hAnsi="宋体" w:cs="宋体"/>
          <w:sz w:val="24"/>
        </w:rPr>
        <w:t>2、竞标单位应满足《中华人民共和国政府采购法》第二十二条规定。</w:t>
      </w:r>
    </w:p>
    <w:p>
      <w:pPr>
        <w:spacing w:line="360" w:lineRule="auto"/>
        <w:ind w:firstLine="480" w:firstLineChars="200"/>
        <w:rPr>
          <w:rFonts w:hint="eastAsia" w:ascii="宋体" w:hAnsi="宋体" w:cs="宋体"/>
          <w:sz w:val="24"/>
        </w:rPr>
      </w:pPr>
      <w:r>
        <w:rPr>
          <w:rFonts w:hint="eastAsia" w:ascii="宋体" w:hAnsi="宋体" w:cs="宋体"/>
          <w:sz w:val="24"/>
        </w:rPr>
        <w:t>3、竞标单位近三年来承担过类似工程项目（合同书的复印件加盖公章）。</w:t>
      </w:r>
    </w:p>
    <w:p>
      <w:pPr>
        <w:spacing w:line="360" w:lineRule="auto"/>
        <w:ind w:firstLine="480" w:firstLineChars="200"/>
        <w:rPr>
          <w:rFonts w:hint="eastAsia" w:ascii="宋体" w:hAnsi="宋体" w:cs="宋体"/>
          <w:sz w:val="24"/>
        </w:rPr>
      </w:pPr>
      <w:r>
        <w:rPr>
          <w:rFonts w:hint="eastAsia" w:ascii="宋体" w:hAnsi="宋体" w:cs="宋体"/>
          <w:sz w:val="24"/>
        </w:rPr>
        <w:t>4、竞标单位负责人为同一人或者存在直接控股、管理关系的不同投标人，不得参加本项目同一合同项下的采购活动。</w:t>
      </w:r>
    </w:p>
    <w:p>
      <w:pPr>
        <w:spacing w:line="360" w:lineRule="auto"/>
        <w:ind w:firstLine="480" w:firstLineChars="200"/>
        <w:rPr>
          <w:rFonts w:hint="eastAsia" w:ascii="宋体" w:hAnsi="宋体" w:cs="宋体"/>
          <w:sz w:val="24"/>
        </w:rPr>
      </w:pPr>
      <w:r>
        <w:rPr>
          <w:rFonts w:hint="eastAsia" w:ascii="宋体" w:hAnsi="宋体" w:cs="宋体"/>
          <w:sz w:val="24"/>
        </w:rPr>
        <w:t>5、为本采购项目提供整体设计、规范编制或者项目管理、监理、检测等服务的，不得再参加本项目的其他招标采购活动。</w:t>
      </w:r>
    </w:p>
    <w:p>
      <w:pPr>
        <w:spacing w:line="360" w:lineRule="auto"/>
        <w:ind w:firstLine="480" w:firstLineChars="200"/>
        <w:rPr>
          <w:rFonts w:hint="eastAsia" w:ascii="宋体" w:hAnsi="宋体" w:cs="宋体"/>
          <w:sz w:val="24"/>
        </w:rPr>
      </w:pPr>
      <w:r>
        <w:rPr>
          <w:rFonts w:hint="eastAsia" w:ascii="宋体" w:hAnsi="宋体" w:cs="宋体"/>
          <w:sz w:val="24"/>
        </w:rPr>
        <w:t>6、未被列入失信被执行人、重大税收违法失信主体，未被列入政府采购严重违法失信行为记录名单。</w:t>
      </w:r>
    </w:p>
    <w:p>
      <w:pPr>
        <w:spacing w:line="360" w:lineRule="auto"/>
        <w:ind w:firstLine="480" w:firstLineChars="200"/>
        <w:rPr>
          <w:rFonts w:hint="eastAsia" w:ascii="宋体" w:hAnsi="宋体" w:cs="宋体"/>
          <w:sz w:val="24"/>
        </w:rPr>
      </w:pPr>
      <w:r>
        <w:rPr>
          <w:rFonts w:hint="eastAsia" w:ascii="宋体" w:hAnsi="宋体" w:cs="宋体"/>
          <w:sz w:val="24"/>
        </w:rPr>
        <w:t>7、竞标单位需提供满足本项目所有“资格要求”的申明函。</w:t>
      </w:r>
    </w:p>
    <w:p>
      <w:pPr>
        <w:pStyle w:val="5"/>
        <w:spacing w:line="360" w:lineRule="auto"/>
        <w:jc w:val="both"/>
        <w:rPr>
          <w:rFonts w:ascii="宋体" w:eastAsia="宋体" w:cs="宋体"/>
          <w:bCs w:val="0"/>
          <w:sz w:val="24"/>
          <w:szCs w:val="24"/>
        </w:rPr>
      </w:pPr>
      <w:r>
        <w:rPr>
          <w:rFonts w:hint="eastAsia" w:ascii="宋体" w:eastAsia="宋体" w:cs="宋体"/>
          <w:bCs w:val="0"/>
          <w:sz w:val="24"/>
          <w:szCs w:val="24"/>
        </w:rPr>
        <w:t>三、获取采购文件</w:t>
      </w:r>
      <w:bookmarkEnd w:id="11"/>
      <w:bookmarkEnd w:id="12"/>
      <w:bookmarkEnd w:id="13"/>
      <w:bookmarkEnd w:id="14"/>
    </w:p>
    <w:p>
      <w:pPr>
        <w:spacing w:line="360" w:lineRule="auto"/>
        <w:ind w:firstLine="540"/>
        <w:rPr>
          <w:rFonts w:ascii="宋体" w:hAnsi="宋体" w:cs="宋体"/>
          <w:sz w:val="24"/>
        </w:rPr>
      </w:pPr>
      <w:r>
        <w:rPr>
          <w:rFonts w:hint="eastAsia" w:ascii="宋体" w:hAnsi="宋体" w:cs="宋体"/>
          <w:sz w:val="24"/>
        </w:rPr>
        <w:t>时间：2023年</w:t>
      </w:r>
      <w:r>
        <w:rPr>
          <w:rFonts w:ascii="宋体" w:hAnsi="宋体" w:cs="宋体"/>
          <w:sz w:val="24"/>
          <w:u w:val="single"/>
        </w:rPr>
        <w:t xml:space="preserve"> </w:t>
      </w:r>
      <w:r>
        <w:rPr>
          <w:rFonts w:hint="eastAsia" w:ascii="宋体" w:hAnsi="宋体" w:cs="宋体"/>
          <w:sz w:val="24"/>
          <w:u w:val="single"/>
          <w:lang w:val="en-US" w:eastAsia="zh-CN"/>
        </w:rPr>
        <w:t>12</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lang w:val="en-US" w:eastAsia="zh-CN"/>
        </w:rPr>
        <w:t>28</w:t>
      </w:r>
      <w:r>
        <w:rPr>
          <w:rFonts w:ascii="宋体" w:hAnsi="宋体" w:cs="宋体"/>
          <w:sz w:val="24"/>
          <w:u w:val="single"/>
        </w:rPr>
        <w:t xml:space="preserve">  </w:t>
      </w:r>
      <w:r>
        <w:rPr>
          <w:rFonts w:hint="eastAsia" w:ascii="宋体" w:hAnsi="宋体" w:cs="宋体"/>
          <w:sz w:val="24"/>
        </w:rPr>
        <w:t>日至202</w:t>
      </w:r>
      <w:r>
        <w:rPr>
          <w:rFonts w:hint="eastAsia" w:ascii="宋体" w:hAnsi="宋体" w:cs="宋体"/>
          <w:sz w:val="24"/>
          <w:lang w:val="en-US" w:eastAsia="zh-CN"/>
        </w:rPr>
        <w:t>4</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lang w:val="en-US" w:eastAsia="zh-CN"/>
        </w:rPr>
        <w:t>4</w:t>
      </w:r>
      <w:r>
        <w:rPr>
          <w:rFonts w:ascii="宋体" w:hAnsi="宋体" w:cs="宋体"/>
          <w:sz w:val="24"/>
          <w:u w:val="single"/>
        </w:rPr>
        <w:t xml:space="preserve">  </w:t>
      </w:r>
      <w:r>
        <w:rPr>
          <w:rFonts w:hint="eastAsia" w:ascii="宋体" w:hAnsi="宋体" w:cs="宋体"/>
          <w:sz w:val="24"/>
        </w:rPr>
        <w:t>日，每天8:30至11:30，14：30至17:30（北京时间，法定节假日除外）；</w:t>
      </w:r>
    </w:p>
    <w:p>
      <w:pPr>
        <w:spacing w:line="360" w:lineRule="auto"/>
        <w:ind w:firstLine="540"/>
        <w:rPr>
          <w:rFonts w:ascii="宋体" w:hAnsi="宋体" w:cs="宋体"/>
          <w:sz w:val="24"/>
        </w:rPr>
      </w:pPr>
      <w:r>
        <w:rPr>
          <w:rFonts w:hint="eastAsia" w:ascii="宋体" w:hAnsi="宋体" w:cs="宋体"/>
          <w:sz w:val="24"/>
        </w:rPr>
        <w:t xml:space="preserve">地点：  </w:t>
      </w:r>
      <w:r>
        <w:rPr>
          <w:rFonts w:hint="eastAsia" w:ascii="宋体" w:hAnsi="宋体" w:cs="宋体"/>
          <w:sz w:val="24"/>
          <w:lang w:val="en-US" w:eastAsia="zh-CN"/>
        </w:rPr>
        <w:t>武汉商学院工商管理学院</w:t>
      </w:r>
      <w:r>
        <w:rPr>
          <w:rFonts w:hint="eastAsia" w:ascii="宋体" w:hAnsi="宋体" w:cs="宋体"/>
          <w:sz w:val="24"/>
        </w:rPr>
        <w:t xml:space="preserve">  （</w:t>
      </w:r>
      <w:r>
        <w:rPr>
          <w:rFonts w:ascii="宋体" w:hAnsi="宋体" w:cs="宋体"/>
          <w:sz w:val="24"/>
        </w:rPr>
        <w:t>湖北省武汉市武汉经济技术开发区东风大道816号</w:t>
      </w:r>
      <w:r>
        <w:rPr>
          <w:rFonts w:hint="eastAsia" w:ascii="宋体" w:hAnsi="宋体" w:cs="宋体"/>
          <w:sz w:val="24"/>
        </w:rPr>
        <w:t>）。供应商获取采购文件时应提供营业执照、法定代表人身份证明书及授权委托书（注明联系电话）复印件加盖鲜章；</w:t>
      </w:r>
    </w:p>
    <w:p>
      <w:pPr>
        <w:spacing w:line="360" w:lineRule="auto"/>
        <w:ind w:firstLine="540"/>
        <w:rPr>
          <w:rFonts w:ascii="宋体" w:hAnsi="宋体" w:cs="宋体"/>
          <w:sz w:val="24"/>
          <w:u w:val="single"/>
        </w:rPr>
      </w:pPr>
      <w:r>
        <w:rPr>
          <w:rFonts w:hint="eastAsia" w:ascii="宋体" w:hAnsi="宋体" w:cs="宋体"/>
          <w:sz w:val="24"/>
        </w:rPr>
        <w:t>方式：</w:t>
      </w:r>
      <w:r>
        <w:rPr>
          <w:rFonts w:hint="eastAsia" w:ascii="宋体" w:hAnsi="宋体" w:cs="宋体"/>
          <w:sz w:val="24"/>
          <w:u w:val="none"/>
          <w:lang w:val="en-US" w:eastAsia="zh-CN"/>
        </w:rPr>
        <w:t>工商管理学院官网</w:t>
      </w:r>
      <w:r>
        <w:rPr>
          <w:rFonts w:hint="eastAsia" w:ascii="宋体" w:hAnsi="宋体" w:cs="宋体"/>
          <w:sz w:val="24"/>
        </w:rPr>
        <w:t>；</w:t>
      </w:r>
    </w:p>
    <w:p>
      <w:pPr>
        <w:spacing w:line="360" w:lineRule="auto"/>
        <w:ind w:firstLine="540"/>
        <w:rPr>
          <w:rFonts w:ascii="宋体" w:hAnsi="宋体" w:cs="宋体"/>
          <w:sz w:val="24"/>
        </w:rPr>
      </w:pPr>
      <w:r>
        <w:rPr>
          <w:rFonts w:hint="eastAsia" w:ascii="宋体" w:hAnsi="宋体" w:cs="宋体"/>
          <w:sz w:val="24"/>
        </w:rPr>
        <w:t>售价：0元。</w:t>
      </w:r>
    </w:p>
    <w:p>
      <w:pPr>
        <w:pStyle w:val="5"/>
        <w:spacing w:line="360" w:lineRule="auto"/>
        <w:jc w:val="both"/>
        <w:rPr>
          <w:rFonts w:ascii="宋体" w:eastAsia="宋体" w:cs="宋体"/>
          <w:bCs w:val="0"/>
          <w:sz w:val="24"/>
          <w:szCs w:val="24"/>
        </w:rPr>
      </w:pPr>
      <w:bookmarkStart w:id="15" w:name="_Toc28359015"/>
      <w:bookmarkStart w:id="16" w:name="_Toc28359092"/>
      <w:bookmarkStart w:id="17" w:name="_Toc35393801"/>
      <w:bookmarkStart w:id="18" w:name="_Toc35393632"/>
      <w:r>
        <w:rPr>
          <w:rFonts w:hint="eastAsia" w:ascii="宋体" w:eastAsia="宋体" w:cs="宋体"/>
          <w:bCs w:val="0"/>
          <w:sz w:val="24"/>
          <w:szCs w:val="24"/>
        </w:rPr>
        <w:t>四、响应文件提交</w:t>
      </w:r>
      <w:bookmarkEnd w:id="15"/>
      <w:bookmarkEnd w:id="16"/>
      <w:bookmarkEnd w:id="17"/>
      <w:bookmarkEnd w:id="18"/>
    </w:p>
    <w:p>
      <w:pPr>
        <w:spacing w:line="360" w:lineRule="auto"/>
        <w:ind w:firstLine="480" w:firstLineChars="200"/>
        <w:rPr>
          <w:rFonts w:ascii="宋体" w:hAnsi="宋体" w:cs="宋体"/>
          <w:sz w:val="24"/>
        </w:rPr>
      </w:pPr>
      <w:r>
        <w:rPr>
          <w:rFonts w:hint="eastAsia" w:ascii="宋体" w:hAnsi="宋体" w:cs="宋体"/>
          <w:sz w:val="24"/>
        </w:rPr>
        <w:t>截止时间：202</w:t>
      </w:r>
      <w:r>
        <w:rPr>
          <w:rFonts w:hint="eastAsia" w:ascii="宋体" w:hAnsi="宋体" w:cs="宋体"/>
          <w:sz w:val="24"/>
          <w:lang w:val="en-US" w:eastAsia="zh-CN"/>
        </w:rPr>
        <w:t>4</w:t>
      </w:r>
      <w:r>
        <w:rPr>
          <w:rFonts w:hint="eastAsia" w:ascii="宋体" w:hAnsi="宋体" w:cs="宋体"/>
          <w:sz w:val="24"/>
        </w:rPr>
        <w:t>年</w:t>
      </w:r>
      <w:r>
        <w:rPr>
          <w:rFonts w:ascii="宋体" w:hAnsi="宋体" w:cs="宋体"/>
          <w:sz w:val="24"/>
        </w:rPr>
        <w:t xml:space="preserve"> </w:t>
      </w:r>
      <w:r>
        <w:rPr>
          <w:rFonts w:hint="eastAsia" w:ascii="宋体" w:hAnsi="宋体" w:cs="宋体"/>
          <w:sz w:val="24"/>
          <w:lang w:val="en-US" w:eastAsia="zh-CN"/>
        </w:rPr>
        <w:t>1</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lang w:val="en-US" w:eastAsia="zh-CN"/>
        </w:rPr>
        <w:t>4</w:t>
      </w:r>
      <w:r>
        <w:rPr>
          <w:rFonts w:ascii="宋体" w:hAnsi="宋体" w:cs="宋体"/>
          <w:sz w:val="24"/>
        </w:rPr>
        <w:t xml:space="preserve">  </w:t>
      </w:r>
      <w:r>
        <w:rPr>
          <w:rFonts w:hint="eastAsia" w:ascii="宋体" w:hAnsi="宋体" w:cs="宋体"/>
          <w:sz w:val="24"/>
        </w:rPr>
        <w:t>日</w:t>
      </w:r>
      <w:r>
        <w:rPr>
          <w:rFonts w:ascii="宋体" w:hAnsi="宋体" w:cs="宋体"/>
          <w:sz w:val="24"/>
        </w:rPr>
        <w:t>11</w:t>
      </w:r>
      <w:r>
        <w:rPr>
          <w:rFonts w:hint="eastAsia" w:ascii="宋体" w:hAnsi="宋体" w:cs="宋体"/>
          <w:sz w:val="24"/>
        </w:rPr>
        <w:t>时</w:t>
      </w:r>
      <w:r>
        <w:rPr>
          <w:rFonts w:ascii="宋体" w:hAnsi="宋体" w:cs="宋体"/>
          <w:sz w:val="24"/>
        </w:rPr>
        <w:t>3</w:t>
      </w:r>
      <w:r>
        <w:rPr>
          <w:rFonts w:hint="eastAsia" w:ascii="宋体" w:hAnsi="宋体" w:cs="宋体"/>
          <w:sz w:val="24"/>
        </w:rPr>
        <w:t>0分（北京时间）；</w:t>
      </w:r>
    </w:p>
    <w:p>
      <w:pPr>
        <w:spacing w:line="360" w:lineRule="auto"/>
        <w:ind w:firstLine="480" w:firstLineChars="200"/>
        <w:rPr>
          <w:rFonts w:ascii="宋体" w:hAnsi="宋体" w:cs="宋体"/>
          <w:sz w:val="24"/>
        </w:rPr>
      </w:pPr>
      <w:r>
        <w:rPr>
          <w:rFonts w:hint="eastAsia" w:ascii="宋体" w:hAnsi="宋体" w:cs="宋体"/>
          <w:sz w:val="24"/>
        </w:rPr>
        <w:t>地点：</w:t>
      </w:r>
      <w:r>
        <w:rPr>
          <w:rFonts w:hint="eastAsia" w:ascii="宋体" w:hAnsi="宋体" w:cs="宋体"/>
          <w:sz w:val="24"/>
          <w:lang w:val="en-US" w:eastAsia="zh-CN"/>
        </w:rPr>
        <w:t>武汉商学院工商管理学院</w:t>
      </w:r>
      <w:r>
        <w:rPr>
          <w:rFonts w:hint="eastAsia" w:ascii="宋体" w:hAnsi="宋体" w:cs="宋体"/>
          <w:sz w:val="24"/>
        </w:rPr>
        <w:t xml:space="preserve">   （</w:t>
      </w:r>
      <w:r>
        <w:rPr>
          <w:rFonts w:ascii="宋体" w:hAnsi="宋体" w:cs="宋体"/>
          <w:sz w:val="24"/>
        </w:rPr>
        <w:t>湖北省武汉市武汉经济技术开发区东风大道816号</w:t>
      </w:r>
      <w:r>
        <w:rPr>
          <w:rFonts w:hint="eastAsia" w:ascii="宋体" w:hAnsi="宋体" w:cs="宋体"/>
          <w:sz w:val="24"/>
        </w:rPr>
        <w:t>）。</w:t>
      </w:r>
    </w:p>
    <w:p>
      <w:pPr>
        <w:pStyle w:val="5"/>
        <w:spacing w:line="360" w:lineRule="auto"/>
        <w:jc w:val="both"/>
        <w:rPr>
          <w:rFonts w:ascii="宋体" w:eastAsia="宋体" w:cs="宋体"/>
          <w:bCs w:val="0"/>
          <w:sz w:val="24"/>
          <w:szCs w:val="24"/>
        </w:rPr>
      </w:pPr>
      <w:bookmarkStart w:id="19" w:name="_Toc28359016"/>
      <w:bookmarkStart w:id="20" w:name="_Toc35393802"/>
      <w:bookmarkStart w:id="21" w:name="_Toc35393633"/>
      <w:bookmarkStart w:id="22" w:name="_Toc28359093"/>
      <w:r>
        <w:rPr>
          <w:rFonts w:hint="eastAsia" w:ascii="宋体" w:eastAsia="宋体" w:cs="宋体"/>
          <w:bCs w:val="0"/>
          <w:sz w:val="24"/>
          <w:szCs w:val="24"/>
        </w:rPr>
        <w:t>五、开启</w:t>
      </w:r>
      <w:bookmarkEnd w:id="19"/>
      <w:bookmarkEnd w:id="20"/>
      <w:bookmarkEnd w:id="21"/>
      <w:bookmarkEnd w:id="22"/>
    </w:p>
    <w:p>
      <w:pPr>
        <w:spacing w:line="360" w:lineRule="auto"/>
        <w:ind w:firstLine="480" w:firstLineChars="200"/>
        <w:rPr>
          <w:rFonts w:ascii="宋体" w:hAnsi="宋体" w:cs="宋体"/>
          <w:sz w:val="24"/>
        </w:rPr>
      </w:pPr>
      <w:r>
        <w:rPr>
          <w:rFonts w:hint="eastAsia" w:ascii="宋体" w:hAnsi="宋体" w:cs="宋体"/>
          <w:sz w:val="24"/>
        </w:rPr>
        <w:t>时间：202</w:t>
      </w:r>
      <w:r>
        <w:rPr>
          <w:rFonts w:hint="eastAsia" w:ascii="宋体" w:hAnsi="宋体" w:cs="宋体"/>
          <w:sz w:val="24"/>
          <w:lang w:val="en-US" w:eastAsia="zh-CN"/>
        </w:rPr>
        <w:t>4</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lang w:val="en-US" w:eastAsia="zh-CN"/>
        </w:rPr>
        <w:t>5</w:t>
      </w:r>
      <w:r>
        <w:rPr>
          <w:rFonts w:ascii="宋体" w:hAnsi="宋体" w:cs="宋体"/>
          <w:sz w:val="24"/>
          <w:u w:val="single"/>
        </w:rPr>
        <w:t xml:space="preserve"> </w:t>
      </w:r>
      <w:r>
        <w:rPr>
          <w:rFonts w:hint="eastAsia" w:ascii="宋体" w:hAnsi="宋体" w:cs="宋体"/>
          <w:sz w:val="24"/>
        </w:rPr>
        <w:t>日</w:t>
      </w:r>
      <w:r>
        <w:rPr>
          <w:rFonts w:ascii="宋体" w:hAnsi="宋体" w:cs="宋体"/>
          <w:sz w:val="24"/>
        </w:rPr>
        <w:t>14</w:t>
      </w:r>
      <w:r>
        <w:rPr>
          <w:rFonts w:hint="eastAsia" w:ascii="宋体" w:hAnsi="宋体" w:cs="宋体"/>
          <w:sz w:val="24"/>
        </w:rPr>
        <w:t>时30分（北京时间）；</w:t>
      </w:r>
    </w:p>
    <w:p>
      <w:pPr>
        <w:spacing w:line="360" w:lineRule="auto"/>
        <w:ind w:firstLine="480" w:firstLineChars="200"/>
        <w:rPr>
          <w:rFonts w:ascii="宋体" w:hAnsi="宋体" w:cs="宋体"/>
          <w:sz w:val="24"/>
        </w:rPr>
      </w:pPr>
      <w:r>
        <w:rPr>
          <w:rFonts w:hint="eastAsia" w:ascii="宋体" w:hAnsi="宋体" w:cs="宋体"/>
          <w:sz w:val="24"/>
        </w:rPr>
        <w:t>地点：</w:t>
      </w:r>
      <w:r>
        <w:rPr>
          <w:rFonts w:hint="eastAsia" w:ascii="宋体" w:hAnsi="宋体" w:cs="宋体"/>
          <w:sz w:val="24"/>
          <w:lang w:val="en-US" w:eastAsia="zh-CN"/>
        </w:rPr>
        <w:t>武汉商学院工商管理学院301会议室</w:t>
      </w:r>
      <w:r>
        <w:rPr>
          <w:rFonts w:hint="eastAsia" w:ascii="宋体" w:hAnsi="宋体" w:cs="宋体"/>
          <w:sz w:val="24"/>
        </w:rPr>
        <w:t xml:space="preserve"> （</w:t>
      </w:r>
      <w:r>
        <w:rPr>
          <w:rFonts w:ascii="宋体" w:hAnsi="宋体" w:cs="宋体"/>
          <w:sz w:val="24"/>
        </w:rPr>
        <w:t>湖北省武汉市武汉经济技术开发区东风大道816号</w:t>
      </w:r>
      <w:r>
        <w:rPr>
          <w:rFonts w:hint="eastAsia" w:ascii="宋体" w:hAnsi="宋体" w:cs="宋体"/>
          <w:sz w:val="24"/>
        </w:rPr>
        <w:t>）。</w:t>
      </w:r>
    </w:p>
    <w:p>
      <w:pPr>
        <w:pStyle w:val="5"/>
        <w:spacing w:line="360" w:lineRule="auto"/>
        <w:jc w:val="both"/>
        <w:rPr>
          <w:rFonts w:ascii="宋体" w:eastAsia="宋体" w:cs="宋体"/>
          <w:bCs w:val="0"/>
          <w:sz w:val="24"/>
          <w:szCs w:val="24"/>
        </w:rPr>
      </w:pPr>
      <w:bookmarkStart w:id="23" w:name="_Toc35393803"/>
      <w:bookmarkStart w:id="24" w:name="_Toc28359094"/>
      <w:bookmarkStart w:id="25" w:name="_Toc28359017"/>
      <w:bookmarkStart w:id="26" w:name="_Toc35393634"/>
      <w:r>
        <w:rPr>
          <w:rFonts w:hint="eastAsia" w:ascii="宋体" w:eastAsia="宋体" w:cs="宋体"/>
          <w:bCs w:val="0"/>
          <w:sz w:val="24"/>
          <w:szCs w:val="24"/>
        </w:rPr>
        <w:t>六、公告期限</w:t>
      </w:r>
      <w:bookmarkEnd w:id="23"/>
      <w:bookmarkEnd w:id="24"/>
      <w:bookmarkEnd w:id="25"/>
      <w:bookmarkEnd w:id="26"/>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w:t>
      </w:r>
      <w:r>
        <w:rPr>
          <w:rFonts w:ascii="宋体" w:hAnsi="宋体" w:cs="宋体"/>
          <w:kern w:val="0"/>
          <w:sz w:val="24"/>
        </w:rPr>
        <w:t>5</w:t>
      </w:r>
      <w:r>
        <w:rPr>
          <w:rFonts w:hint="eastAsia" w:ascii="宋体" w:hAnsi="宋体" w:cs="宋体"/>
          <w:kern w:val="0"/>
          <w:sz w:val="24"/>
        </w:rPr>
        <w:t>个工作日。</w:t>
      </w:r>
    </w:p>
    <w:p>
      <w:pPr>
        <w:pStyle w:val="5"/>
        <w:spacing w:line="360" w:lineRule="auto"/>
        <w:jc w:val="both"/>
        <w:rPr>
          <w:rFonts w:ascii="宋体" w:eastAsia="宋体" w:cs="宋体"/>
          <w:bCs w:val="0"/>
          <w:sz w:val="24"/>
          <w:szCs w:val="24"/>
        </w:rPr>
      </w:pPr>
      <w:bookmarkStart w:id="27" w:name="_Toc28359095"/>
      <w:bookmarkStart w:id="28" w:name="_Toc35393636"/>
      <w:bookmarkStart w:id="29" w:name="_Toc28359018"/>
      <w:bookmarkStart w:id="30" w:name="_Toc35393805"/>
      <w:r>
        <w:rPr>
          <w:rFonts w:hint="eastAsia" w:ascii="宋体" w:eastAsia="宋体" w:cs="宋体"/>
          <w:bCs w:val="0"/>
          <w:sz w:val="24"/>
          <w:szCs w:val="24"/>
        </w:rPr>
        <w:t>七、凡对本次采购提出询问，请按以下方式联系。</w:t>
      </w:r>
      <w:bookmarkEnd w:id="27"/>
      <w:bookmarkEnd w:id="28"/>
      <w:bookmarkEnd w:id="29"/>
      <w:bookmarkEnd w:id="30"/>
    </w:p>
    <w:p>
      <w:pPr>
        <w:pStyle w:val="5"/>
        <w:spacing w:line="360" w:lineRule="auto"/>
        <w:ind w:firstLine="720" w:firstLineChars="300"/>
        <w:jc w:val="both"/>
        <w:rPr>
          <w:rFonts w:ascii="宋体" w:eastAsia="宋体" w:cs="宋体"/>
          <w:bCs w:val="0"/>
          <w:sz w:val="24"/>
          <w:szCs w:val="24"/>
        </w:rPr>
      </w:pPr>
      <w:bookmarkStart w:id="31" w:name="_Toc35393806"/>
      <w:bookmarkStart w:id="32" w:name="_Toc28359019"/>
      <w:bookmarkStart w:id="33" w:name="_Toc35393637"/>
      <w:bookmarkStart w:id="34" w:name="_Toc28359096"/>
      <w:r>
        <w:rPr>
          <w:rFonts w:hint="eastAsia" w:ascii="宋体" w:eastAsia="宋体" w:cs="宋体"/>
          <w:bCs w:val="0"/>
          <w:sz w:val="24"/>
          <w:szCs w:val="24"/>
        </w:rPr>
        <w:t>1.采购人信息</w:t>
      </w:r>
      <w:bookmarkEnd w:id="31"/>
      <w:bookmarkEnd w:id="32"/>
      <w:bookmarkEnd w:id="33"/>
      <w:bookmarkEnd w:id="34"/>
    </w:p>
    <w:p>
      <w:pPr>
        <w:widowControl/>
        <w:spacing w:line="420" w:lineRule="exact"/>
        <w:ind w:firstLine="722" w:firstLineChars="301"/>
        <w:rPr>
          <w:rFonts w:ascii="宋体" w:hAnsi="宋体" w:cs="宋体"/>
          <w:kern w:val="0"/>
          <w:sz w:val="24"/>
        </w:rPr>
      </w:pPr>
      <w:r>
        <w:rPr>
          <w:rFonts w:hint="eastAsia" w:ascii="宋体" w:hAnsi="宋体" w:cs="宋体"/>
          <w:kern w:val="0"/>
          <w:sz w:val="24"/>
          <w:lang w:val="en-US" w:eastAsia="zh-CN"/>
        </w:rPr>
        <w:t>姓    名</w:t>
      </w:r>
      <w:r>
        <w:rPr>
          <w:rFonts w:hint="eastAsia" w:ascii="宋体" w:hAnsi="宋体" w:cs="宋体"/>
          <w:kern w:val="0"/>
          <w:sz w:val="24"/>
        </w:rPr>
        <w:t>：</w:t>
      </w:r>
      <w:r>
        <w:rPr>
          <w:rFonts w:hint="eastAsia" w:ascii="宋体" w:hAnsi="宋体" w:cs="宋体"/>
          <w:kern w:val="0"/>
          <w:sz w:val="24"/>
          <w:lang w:val="en-US" w:eastAsia="zh-CN"/>
        </w:rPr>
        <w:t>李平</w:t>
      </w:r>
      <w:r>
        <w:rPr>
          <w:rFonts w:hint="eastAsia" w:ascii="宋体" w:hAnsi="宋体" w:cs="宋体"/>
          <w:kern w:val="0"/>
          <w:sz w:val="24"/>
        </w:rPr>
        <w:t xml:space="preserve">    </w:t>
      </w:r>
    </w:p>
    <w:p>
      <w:pPr>
        <w:widowControl/>
        <w:spacing w:line="420" w:lineRule="exact"/>
        <w:ind w:firstLine="722" w:firstLineChars="301"/>
        <w:rPr>
          <w:rFonts w:ascii="宋体" w:hAnsi="宋体" w:cs="宋体"/>
          <w:kern w:val="0"/>
          <w:sz w:val="24"/>
        </w:rPr>
      </w:pPr>
      <w:r>
        <w:rPr>
          <w:rFonts w:hint="eastAsia" w:ascii="宋体" w:hAnsi="宋体" w:cs="宋体"/>
          <w:kern w:val="0"/>
          <w:sz w:val="24"/>
        </w:rPr>
        <w:t>地    址：湖北省武汉市武汉经济技术开发区东风大道816号</w:t>
      </w:r>
    </w:p>
    <w:p>
      <w:pPr>
        <w:widowControl/>
        <w:spacing w:line="420" w:lineRule="exact"/>
        <w:ind w:firstLine="722" w:firstLineChars="301"/>
        <w:rPr>
          <w:rFonts w:hint="default" w:ascii="宋体" w:hAnsi="宋体" w:eastAsia="宋体" w:cs="宋体"/>
          <w:kern w:val="0"/>
          <w:sz w:val="24"/>
          <w:lang w:val="en-US" w:eastAsia="zh-CN"/>
        </w:rPr>
      </w:pPr>
      <w:r>
        <w:rPr>
          <w:rFonts w:hint="eastAsia" w:ascii="宋体" w:hAnsi="宋体" w:cs="宋体"/>
          <w:kern w:val="0"/>
          <w:sz w:val="24"/>
        </w:rPr>
        <w:t>联系方式：</w:t>
      </w:r>
      <w:r>
        <w:rPr>
          <w:rFonts w:hint="eastAsia" w:ascii="宋体" w:hAnsi="宋体" w:cs="宋体"/>
          <w:kern w:val="0"/>
          <w:sz w:val="24"/>
          <w:lang w:val="en-US" w:eastAsia="zh-CN"/>
        </w:rPr>
        <w:t>13720167136</w:t>
      </w:r>
      <w:bookmarkStart w:id="87" w:name="_GoBack"/>
      <w:bookmarkEnd w:id="87"/>
    </w:p>
    <w:p>
      <w:pPr>
        <w:pStyle w:val="2"/>
        <w:rPr>
          <w:rFonts w:ascii="宋体" w:hAnsi="宋体" w:cs="宋体"/>
          <w:kern w:val="0"/>
          <w:sz w:val="24"/>
        </w:rPr>
      </w:pPr>
    </w:p>
    <w:p>
      <w:pPr>
        <w:rPr>
          <w:rFonts w:ascii="宋体" w:hAnsi="宋体" w:cs="宋体"/>
          <w:kern w:val="0"/>
          <w:sz w:val="24"/>
        </w:rPr>
      </w:pPr>
    </w:p>
    <w:p>
      <w:pPr>
        <w:pStyle w:val="2"/>
        <w:rPr>
          <w:rFonts w:ascii="宋体" w:hAnsi="宋体" w:cs="宋体"/>
          <w:kern w:val="0"/>
          <w:sz w:val="24"/>
        </w:rPr>
      </w:pPr>
    </w:p>
    <w:p/>
    <w:p>
      <w:r>
        <w:t xml:space="preserve"> </w:t>
      </w:r>
    </w:p>
    <w:p>
      <w:pPr>
        <w:pStyle w:val="60"/>
        <w:rPr>
          <w:rFonts w:ascii="宋体" w:hAnsi="宋体" w:cs="宋体"/>
          <w:kern w:val="0"/>
        </w:rPr>
      </w:pPr>
    </w:p>
    <w:p>
      <w:pPr>
        <w:pStyle w:val="60"/>
        <w:rPr>
          <w:rFonts w:ascii="宋体" w:hAnsi="宋体" w:cs="宋体"/>
          <w:kern w:val="0"/>
        </w:rPr>
      </w:pPr>
    </w:p>
    <w:p>
      <w:pPr>
        <w:pStyle w:val="60"/>
        <w:rPr>
          <w:rFonts w:ascii="宋体" w:hAnsi="宋体" w:cs="宋体"/>
          <w:kern w:val="0"/>
        </w:rPr>
      </w:pPr>
    </w:p>
    <w:p>
      <w:pPr>
        <w:pStyle w:val="60"/>
        <w:rPr>
          <w:rFonts w:ascii="宋体" w:hAnsi="宋体" w:cs="宋体"/>
          <w:kern w:val="0"/>
        </w:rPr>
      </w:pPr>
    </w:p>
    <w:p>
      <w:pPr>
        <w:pStyle w:val="60"/>
        <w:rPr>
          <w:rFonts w:ascii="宋体" w:hAnsi="宋体" w:cs="宋体"/>
          <w:kern w:val="0"/>
        </w:rPr>
      </w:pPr>
    </w:p>
    <w:p>
      <w:pPr>
        <w:pStyle w:val="60"/>
        <w:rPr>
          <w:rFonts w:ascii="宋体" w:hAnsi="宋体" w:cs="宋体"/>
          <w:kern w:val="0"/>
        </w:rPr>
      </w:pPr>
    </w:p>
    <w:p>
      <w:pPr>
        <w:pStyle w:val="60"/>
        <w:rPr>
          <w:rFonts w:ascii="宋体" w:hAnsi="宋体" w:cs="宋体"/>
          <w:kern w:val="0"/>
        </w:rPr>
      </w:pPr>
    </w:p>
    <w:p>
      <w:pPr>
        <w:pStyle w:val="60"/>
        <w:rPr>
          <w:rFonts w:ascii="宋体" w:hAnsi="宋体" w:cs="宋体"/>
          <w:kern w:val="0"/>
        </w:rPr>
      </w:pPr>
    </w:p>
    <w:p>
      <w:pPr>
        <w:pStyle w:val="60"/>
        <w:rPr>
          <w:rFonts w:ascii="宋体" w:hAnsi="宋体" w:cs="宋体"/>
          <w:kern w:val="0"/>
        </w:rPr>
      </w:pPr>
    </w:p>
    <w:p>
      <w:pPr>
        <w:pStyle w:val="60"/>
        <w:rPr>
          <w:rFonts w:ascii="宋体" w:hAnsi="宋体" w:cs="宋体"/>
          <w:kern w:val="0"/>
        </w:rPr>
      </w:pPr>
    </w:p>
    <w:p>
      <w:pPr>
        <w:pStyle w:val="60"/>
        <w:rPr>
          <w:rFonts w:ascii="宋体" w:hAnsi="宋体" w:cs="宋体"/>
          <w:kern w:val="0"/>
        </w:rPr>
      </w:pPr>
    </w:p>
    <w:p>
      <w:pPr>
        <w:pStyle w:val="60"/>
        <w:rPr>
          <w:rFonts w:ascii="宋体" w:hAnsi="宋体" w:cs="宋体"/>
          <w:kern w:val="0"/>
        </w:rPr>
      </w:pPr>
    </w:p>
    <w:p>
      <w:pPr>
        <w:pStyle w:val="60"/>
        <w:rPr>
          <w:rFonts w:ascii="宋体" w:hAnsi="宋体" w:cs="宋体"/>
          <w:kern w:val="0"/>
        </w:rPr>
      </w:pPr>
    </w:p>
    <w:p>
      <w:pPr>
        <w:pStyle w:val="60"/>
        <w:ind w:firstLine="0" w:firstLineChars="0"/>
        <w:rPr>
          <w:rFonts w:ascii="宋体" w:hAnsi="宋体" w:cs="宋体"/>
          <w:kern w:val="0"/>
        </w:rPr>
      </w:pPr>
    </w:p>
    <w:p>
      <w:pPr>
        <w:pStyle w:val="60"/>
        <w:ind w:left="0" w:leftChars="0" w:firstLine="0" w:firstLineChars="0"/>
        <w:rPr>
          <w:rFonts w:ascii="宋体" w:hAnsi="宋体" w:cs="宋体"/>
          <w:kern w:val="0"/>
        </w:rPr>
      </w:pPr>
    </w:p>
    <w:p>
      <w:pPr>
        <w:spacing w:line="440" w:lineRule="exact"/>
        <w:jc w:val="center"/>
        <w:rPr>
          <w:rFonts w:ascii="宋体" w:hAnsi="宋体"/>
          <w:b/>
          <w:bCs/>
          <w:color w:val="000000"/>
          <w:sz w:val="32"/>
        </w:rPr>
      </w:pPr>
      <w:r>
        <w:rPr>
          <w:rFonts w:ascii="宋体" w:hAnsi="宋体"/>
          <w:b/>
          <w:bCs/>
          <w:color w:val="000000"/>
          <w:sz w:val="32"/>
        </w:rPr>
        <w:t>第</w:t>
      </w:r>
      <w:r>
        <w:rPr>
          <w:rFonts w:hint="eastAsia" w:ascii="宋体" w:hAnsi="宋体"/>
          <w:b/>
          <w:bCs/>
          <w:color w:val="000000"/>
          <w:sz w:val="32"/>
        </w:rPr>
        <w:t>二</w:t>
      </w:r>
      <w:r>
        <w:rPr>
          <w:rFonts w:ascii="宋体" w:hAnsi="宋体"/>
          <w:b/>
          <w:bCs/>
          <w:color w:val="000000"/>
          <w:sz w:val="32"/>
        </w:rPr>
        <w:t>章</w:t>
      </w:r>
      <w:r>
        <w:rPr>
          <w:rFonts w:hint="eastAsia" w:ascii="宋体" w:hAnsi="宋体"/>
          <w:b/>
          <w:bCs/>
          <w:color w:val="000000"/>
          <w:sz w:val="32"/>
        </w:rPr>
        <w:t xml:space="preserve"> 磋商报价申请人须知及前附表</w:t>
      </w:r>
    </w:p>
    <w:p>
      <w:pPr>
        <w:jc w:val="center"/>
        <w:rPr>
          <w:rFonts w:ascii="宋体" w:hAnsi="宋体"/>
          <w:b/>
          <w:bCs/>
          <w:color w:val="000000"/>
          <w:sz w:val="28"/>
        </w:rPr>
      </w:pPr>
      <w:r>
        <w:rPr>
          <w:rFonts w:hint="eastAsia" w:ascii="宋体" w:hAnsi="宋体"/>
          <w:b/>
          <w:bCs/>
          <w:color w:val="000000"/>
          <w:sz w:val="28"/>
        </w:rPr>
        <w:t>（一）磋商报价申请人须知前附表</w:t>
      </w:r>
    </w:p>
    <w:tbl>
      <w:tblPr>
        <w:tblStyle w:val="42"/>
        <w:tblW w:w="963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987"/>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bCs/>
                <w:color w:val="000000"/>
                <w:spacing w:val="-20"/>
                <w:sz w:val="24"/>
              </w:rPr>
            </w:pPr>
            <w:r>
              <w:rPr>
                <w:rFonts w:hAnsi="宋体"/>
                <w:bCs/>
                <w:color w:val="000000"/>
                <w:spacing w:val="-20"/>
                <w:sz w:val="24"/>
              </w:rPr>
              <w:t>序号</w:t>
            </w:r>
          </w:p>
        </w:tc>
        <w:tc>
          <w:tcPr>
            <w:tcW w:w="8987"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bCs/>
                <w:color w:val="000000"/>
                <w:sz w:val="24"/>
              </w:rPr>
            </w:pPr>
            <w:r>
              <w:rPr>
                <w:rFonts w:hAnsi="宋体"/>
                <w:bCs/>
                <w:color w:val="000000"/>
                <w:sz w:val="24"/>
              </w:rPr>
              <w:t>内    容    规    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color w:val="000000"/>
                <w:sz w:val="24"/>
              </w:rPr>
            </w:pPr>
            <w:r>
              <w:rPr>
                <w:rFonts w:hAnsi="宋体"/>
                <w:color w:val="000000"/>
                <w:sz w:val="24"/>
              </w:rPr>
              <w:t>1</w:t>
            </w:r>
          </w:p>
        </w:tc>
        <w:tc>
          <w:tcPr>
            <w:tcW w:w="8987" w:type="dxa"/>
            <w:tcBorders>
              <w:top w:val="single" w:color="000000" w:sz="4" w:space="0"/>
              <w:left w:val="single" w:color="000000" w:sz="4" w:space="0"/>
              <w:bottom w:val="single" w:color="000000" w:sz="4" w:space="0"/>
              <w:right w:val="single" w:color="000000" w:sz="4" w:space="0"/>
            </w:tcBorders>
          </w:tcPr>
          <w:p>
            <w:pPr>
              <w:spacing w:line="420" w:lineRule="exact"/>
              <w:rPr>
                <w:rFonts w:ascii="宋体" w:hAnsi="宋体" w:cs="宋体"/>
                <w:kern w:val="0"/>
                <w:sz w:val="24"/>
              </w:rPr>
            </w:pPr>
            <w:r>
              <w:rPr>
                <w:rFonts w:hint="eastAsia" w:ascii="宋体" w:hAnsi="宋体" w:cs="宋体"/>
                <w:kern w:val="0"/>
                <w:sz w:val="24"/>
              </w:rPr>
              <w:t>项目名称：</w:t>
            </w:r>
            <w:r>
              <w:rPr>
                <w:rFonts w:hint="eastAsia" w:ascii="宋体" w:hAnsi="宋体" w:cs="宋体"/>
                <w:color w:val="000000"/>
                <w:sz w:val="24"/>
              </w:rPr>
              <w:t xml:space="preserve"> 智能仓储系统物流效率虚拟仿真实验云托管及等保服务项目</w:t>
            </w:r>
            <w:r>
              <w:rPr>
                <w:rFonts w:hint="eastAsia" w:ascii="宋体" w:hAnsi="宋体" w:cs="宋体"/>
                <w:kern w:val="0"/>
                <w:sz w:val="24"/>
              </w:rPr>
              <w:t>。</w:t>
            </w:r>
          </w:p>
          <w:p>
            <w:pPr>
              <w:spacing w:line="420" w:lineRule="exact"/>
              <w:rPr>
                <w:rFonts w:ascii="宋体" w:hAnsi="宋体" w:cs="宋体"/>
                <w:kern w:val="0"/>
                <w:sz w:val="24"/>
              </w:rPr>
            </w:pPr>
            <w:r>
              <w:rPr>
                <w:rFonts w:hint="eastAsia" w:ascii="宋体" w:hAnsi="宋体" w:cs="宋体"/>
                <w:sz w:val="24"/>
              </w:rPr>
              <w:t>预算金额：</w:t>
            </w:r>
            <w:r>
              <w:rPr>
                <w:rFonts w:ascii="宋体" w:hAnsi="宋体" w:cs="宋体"/>
                <w:sz w:val="24"/>
              </w:rPr>
              <w:t xml:space="preserve">   </w:t>
            </w:r>
            <w:r>
              <w:rPr>
                <w:rFonts w:hint="eastAsia" w:ascii="宋体" w:hAnsi="宋体" w:cs="宋体"/>
                <w:sz w:val="24"/>
              </w:rPr>
              <w:t>万元。</w:t>
            </w:r>
          </w:p>
          <w:p>
            <w:pPr>
              <w:spacing w:line="360" w:lineRule="auto"/>
              <w:rPr>
                <w:rFonts w:ascii="宋体" w:hAnsi="宋体" w:cs="宋体"/>
                <w:color w:val="000000"/>
                <w:sz w:val="24"/>
              </w:rPr>
            </w:pPr>
            <w:r>
              <w:rPr>
                <w:rFonts w:hint="eastAsia" w:ascii="宋体" w:hAnsi="宋体" w:cs="宋体"/>
                <w:kern w:val="0"/>
                <w:sz w:val="24"/>
              </w:rPr>
              <w:t>采购需求</w:t>
            </w:r>
            <w:r>
              <w:rPr>
                <w:rFonts w:hint="eastAsia" w:ascii="宋体" w:hAnsi="宋体" w:cs="宋体"/>
                <w:color w:val="000000"/>
                <w:sz w:val="24"/>
              </w:rPr>
              <w:t>：1、系统服务器云托管、2、信息系统等级保护测评服务</w:t>
            </w:r>
          </w:p>
          <w:p>
            <w:pPr>
              <w:spacing w:line="420" w:lineRule="exact"/>
              <w:rPr>
                <w:rFonts w:ascii="宋体" w:hAnsi="宋体" w:cs="宋体"/>
                <w:kern w:val="0"/>
                <w:sz w:val="24"/>
              </w:rPr>
            </w:pPr>
            <w:r>
              <w:rPr>
                <w:rFonts w:hint="eastAsia" w:ascii="宋体" w:hAnsi="宋体" w:cs="宋体"/>
                <w:kern w:val="0"/>
                <w:sz w:val="24"/>
              </w:rPr>
              <w:t>招标编号：</w:t>
            </w:r>
          </w:p>
          <w:p>
            <w:pPr>
              <w:spacing w:line="360" w:lineRule="auto"/>
              <w:rPr>
                <w:rFonts w:ascii="宋体" w:hAnsi="宋体" w:cs="宋体"/>
                <w:sz w:val="24"/>
              </w:rPr>
            </w:pPr>
            <w:r>
              <w:rPr>
                <w:rFonts w:hint="eastAsia" w:ascii="宋体" w:hAnsi="宋体" w:cs="宋体"/>
                <w:sz w:val="24"/>
              </w:rPr>
              <w:t>合同履行期限：</w:t>
            </w:r>
            <w:r>
              <w:rPr>
                <w:rFonts w:hint="eastAsia" w:ascii="宋体" w:hAnsi="宋体" w:cs="宋体"/>
                <w:color w:val="000000"/>
                <w:sz w:val="24"/>
              </w:rPr>
              <w:t>项目具备测评条件之日起60个工作日内完成等级测评工作(网络安全建设整改不含在项目工期内)。</w:t>
            </w:r>
          </w:p>
          <w:p>
            <w:pPr>
              <w:spacing w:line="420" w:lineRule="exact"/>
              <w:rPr>
                <w:rFonts w:ascii="宋体" w:hAnsi="宋体" w:cs="宋体"/>
                <w:color w:val="000000"/>
                <w:kern w:val="0"/>
                <w:sz w:val="24"/>
              </w:rPr>
            </w:pPr>
            <w:r>
              <w:rPr>
                <w:rFonts w:hint="eastAsia" w:ascii="宋体" w:hAnsi="宋体" w:cs="宋体"/>
                <w:sz w:val="24"/>
              </w:rPr>
              <w:t>质保期：1年</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sz w:val="24"/>
              </w:rPr>
            </w:pPr>
            <w:r>
              <w:rPr>
                <w:rFonts w:hAnsi="宋体"/>
                <w:sz w:val="24"/>
              </w:rPr>
              <w:t>2</w:t>
            </w:r>
          </w:p>
        </w:tc>
        <w:tc>
          <w:tcPr>
            <w:tcW w:w="8987" w:type="dxa"/>
            <w:tcBorders>
              <w:top w:val="single" w:color="000000" w:sz="4" w:space="0"/>
              <w:left w:val="single" w:color="000000" w:sz="4" w:space="0"/>
              <w:bottom w:val="single" w:color="000000" w:sz="4" w:space="0"/>
              <w:right w:val="single" w:color="000000" w:sz="4" w:space="0"/>
            </w:tcBorders>
          </w:tcPr>
          <w:p>
            <w:pPr>
              <w:pStyle w:val="23"/>
              <w:spacing w:line="420" w:lineRule="exact"/>
              <w:rPr>
                <w:rFonts w:hAnsi="宋体"/>
                <w:b/>
                <w:sz w:val="24"/>
              </w:rPr>
            </w:pPr>
            <w:r>
              <w:rPr>
                <w:rFonts w:hAnsi="宋体"/>
                <w:b/>
                <w:sz w:val="24"/>
              </w:rPr>
              <w:t>供应商资格条件、能力和信誉要求：</w:t>
            </w:r>
          </w:p>
          <w:p>
            <w:pPr>
              <w:widowControl/>
              <w:spacing w:line="360" w:lineRule="auto"/>
              <w:jc w:val="left"/>
              <w:rPr>
                <w:rFonts w:ascii="宋体" w:hAnsi="宋体" w:cs="宋体"/>
                <w:sz w:val="24"/>
              </w:rPr>
            </w:pPr>
            <w:r>
              <w:rPr>
                <w:rFonts w:hint="eastAsia" w:ascii="宋体" w:hAnsi="宋体" w:cs="宋体"/>
                <w:sz w:val="24"/>
              </w:rPr>
              <w:t>1.满足《中华人民共和国政府采购法》第二十二条规定：</w:t>
            </w:r>
          </w:p>
          <w:p>
            <w:pPr>
              <w:widowControl/>
              <w:spacing w:line="360" w:lineRule="auto"/>
              <w:jc w:val="left"/>
              <w:rPr>
                <w:rFonts w:ascii="宋体" w:hAnsi="宋体" w:cs="宋体"/>
                <w:sz w:val="24"/>
              </w:rPr>
            </w:pPr>
            <w:r>
              <w:rPr>
                <w:rFonts w:hint="eastAsia" w:ascii="宋体" w:hAnsi="宋体" w:cs="宋体"/>
                <w:sz w:val="24"/>
              </w:rPr>
              <w:t>（1）具有独立承担民事责任的能力：提供法人或者其他组织的营业执照等证明文件，自然人的身份证明；</w:t>
            </w:r>
          </w:p>
          <w:p>
            <w:pPr>
              <w:widowControl/>
              <w:spacing w:line="360" w:lineRule="auto"/>
              <w:jc w:val="left"/>
              <w:rPr>
                <w:rFonts w:ascii="宋体" w:hAnsi="宋体" w:cs="宋体"/>
                <w:sz w:val="24"/>
              </w:rPr>
            </w:pPr>
            <w:r>
              <w:rPr>
                <w:rFonts w:hint="eastAsia" w:ascii="宋体" w:hAnsi="宋体" w:cs="宋体"/>
                <w:sz w:val="24"/>
              </w:rPr>
              <w:t>（2）具有良好的商业信誉和健全的财务会计制度：提供202</w:t>
            </w:r>
            <w:r>
              <w:rPr>
                <w:rFonts w:ascii="宋体" w:hAnsi="宋体" w:cs="宋体"/>
                <w:sz w:val="24"/>
              </w:rPr>
              <w:t>2</w:t>
            </w:r>
            <w:r>
              <w:rPr>
                <w:rFonts w:hint="eastAsia" w:ascii="宋体" w:hAnsi="宋体" w:cs="宋体"/>
                <w:sz w:val="24"/>
              </w:rPr>
              <w:t>年财务报表表（如供应商为新成立的公司，只需提供公司成立起至今的财务报表，其他组织和自然人，没有财务报表，可以提供银行出具的资信证明）；</w:t>
            </w:r>
          </w:p>
          <w:p>
            <w:pPr>
              <w:widowControl/>
              <w:spacing w:line="360" w:lineRule="auto"/>
              <w:jc w:val="left"/>
              <w:rPr>
                <w:rFonts w:ascii="宋体" w:hAnsi="宋体" w:cs="宋体"/>
                <w:sz w:val="24"/>
              </w:rPr>
            </w:pPr>
            <w:r>
              <w:rPr>
                <w:rFonts w:hint="eastAsia" w:ascii="宋体" w:hAnsi="宋体" w:cs="宋体"/>
                <w:sz w:val="24"/>
              </w:rPr>
              <w:t>（3）具有履行合同所必需的设备和专业技术能力：提供书面声明；</w:t>
            </w:r>
          </w:p>
          <w:p>
            <w:pPr>
              <w:widowControl/>
              <w:spacing w:line="360" w:lineRule="auto"/>
              <w:jc w:val="left"/>
              <w:rPr>
                <w:rFonts w:ascii="宋体" w:hAnsi="宋体" w:cs="宋体"/>
                <w:sz w:val="24"/>
              </w:rPr>
            </w:pPr>
            <w:r>
              <w:rPr>
                <w:rFonts w:hint="eastAsia" w:ascii="宋体" w:hAnsi="宋体" w:cs="宋体"/>
                <w:sz w:val="24"/>
              </w:rPr>
              <w:t>（4）有依法缴纳税收的良好记录：提供2022年1月至今任意1个月的缴纳税收资金证明材料（如供应商属于免税或免缴纳社会保障资金的情况应提供相关证明材料）；</w:t>
            </w:r>
          </w:p>
          <w:p>
            <w:pPr>
              <w:widowControl/>
              <w:spacing w:line="360" w:lineRule="auto"/>
              <w:jc w:val="left"/>
              <w:rPr>
                <w:rFonts w:ascii="宋体" w:hAnsi="宋体" w:cs="宋体"/>
                <w:sz w:val="24"/>
              </w:rPr>
            </w:pPr>
            <w:r>
              <w:rPr>
                <w:rFonts w:hint="eastAsia" w:ascii="宋体" w:hAnsi="宋体" w:cs="宋体"/>
                <w:sz w:val="24"/>
              </w:rPr>
              <w:t>（5）参加政府采购活动前三年内，在经营活动中没有重大违法记录：提供书面声明；</w:t>
            </w:r>
          </w:p>
          <w:p>
            <w:pPr>
              <w:widowControl/>
              <w:spacing w:line="360" w:lineRule="auto"/>
              <w:jc w:val="left"/>
              <w:rPr>
                <w:rFonts w:ascii="宋体" w:hAnsi="宋体" w:cs="宋体"/>
                <w:sz w:val="24"/>
              </w:rPr>
            </w:pPr>
            <w:r>
              <w:rPr>
                <w:rFonts w:hint="eastAsia" w:ascii="宋体" w:hAnsi="宋体" w:cs="宋体"/>
                <w:sz w:val="24"/>
              </w:rPr>
              <w:t>（6）法律、行政法规规定的其他条件。</w:t>
            </w:r>
          </w:p>
          <w:p>
            <w:pPr>
              <w:widowControl/>
              <w:spacing w:line="360" w:lineRule="auto"/>
              <w:jc w:val="left"/>
              <w:rPr>
                <w:rFonts w:ascii="宋体" w:hAnsi="宋体" w:cs="宋体"/>
                <w:sz w:val="24"/>
              </w:rPr>
            </w:pPr>
            <w:r>
              <w:rPr>
                <w:rFonts w:hint="eastAsia" w:ascii="宋体" w:hAnsi="宋体" w:cs="宋体"/>
                <w:sz w:val="24"/>
              </w:rPr>
              <w:t>2.落实政府采购政策需满足的资格要求：本项目执行政府采购促进中小企业发展、支持监狱企业、促进残疾人就业等政府采购政策。</w:t>
            </w:r>
          </w:p>
          <w:p>
            <w:pPr>
              <w:widowControl/>
              <w:spacing w:line="360" w:lineRule="auto"/>
              <w:jc w:val="left"/>
              <w:rPr>
                <w:rFonts w:hint="eastAsia" w:ascii="宋体" w:hAnsi="宋体" w:cs="宋体"/>
                <w:sz w:val="24"/>
              </w:rPr>
            </w:pPr>
            <w:r>
              <w:rPr>
                <w:rFonts w:hint="eastAsia" w:ascii="宋体" w:hAnsi="宋体" w:cs="宋体"/>
                <w:sz w:val="24"/>
              </w:rPr>
              <w:t>3.本项目的特定资格要求：供应商未被列入“信用中国”网站（www.creditchina.gov.cn）失信被执行人、重大税收违法案件当事人名单、政府采购严重违法失信行为记录名单及中国政府采购网（www.ccgp.gov.cn）“政府采购严重违法失信行为信息记录”。由采购代理机构在磋商过程或定标阶段进行查询核实，存在不良记录的将取消其磋商资格或成交资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color w:val="000000"/>
                <w:sz w:val="24"/>
              </w:rPr>
            </w:pPr>
            <w:r>
              <w:rPr>
                <w:rFonts w:hAnsi="宋体"/>
                <w:color w:val="000000"/>
                <w:sz w:val="24"/>
              </w:rPr>
              <w:t>3</w:t>
            </w:r>
          </w:p>
        </w:tc>
        <w:tc>
          <w:tcPr>
            <w:tcW w:w="8987" w:type="dxa"/>
            <w:tcBorders>
              <w:top w:val="single" w:color="000000" w:sz="4" w:space="0"/>
              <w:left w:val="single" w:color="000000" w:sz="4" w:space="0"/>
              <w:bottom w:val="single" w:color="000000" w:sz="4" w:space="0"/>
              <w:right w:val="single" w:color="000000" w:sz="4" w:space="0"/>
            </w:tcBorders>
          </w:tcPr>
          <w:p>
            <w:pPr>
              <w:pStyle w:val="23"/>
              <w:spacing w:line="420" w:lineRule="exact"/>
              <w:rPr>
                <w:rFonts w:hAnsi="宋体"/>
                <w:color w:val="000000"/>
                <w:sz w:val="24"/>
              </w:rPr>
            </w:pPr>
            <w:r>
              <w:rPr>
                <w:rFonts w:hint="eastAsia" w:hAnsi="宋体"/>
                <w:color w:val="000000"/>
                <w:sz w:val="24"/>
              </w:rPr>
              <w:t>投标</w:t>
            </w:r>
            <w:r>
              <w:rPr>
                <w:rFonts w:hAnsi="宋体"/>
                <w:color w:val="000000"/>
                <w:sz w:val="24"/>
              </w:rPr>
              <w:t>有效期：</w:t>
            </w:r>
            <w:r>
              <w:rPr>
                <w:rFonts w:hint="eastAsia" w:hAnsi="宋体"/>
                <w:color w:val="000000"/>
                <w:sz w:val="24"/>
              </w:rPr>
              <w:t>6</w:t>
            </w:r>
            <w:r>
              <w:rPr>
                <w:rFonts w:hAnsi="宋体"/>
                <w:color w:val="000000"/>
                <w:sz w:val="24"/>
              </w:rPr>
              <w:t>0 天（自采购文件递交截止日期开始）</w:t>
            </w:r>
            <w:r>
              <w:rPr>
                <w:rFonts w:hint="eastAsia" w:hAnsi="宋体"/>
                <w:color w:val="000000"/>
                <w:sz w:val="2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color w:val="000000"/>
                <w:sz w:val="24"/>
              </w:rPr>
            </w:pPr>
            <w:r>
              <w:rPr>
                <w:rFonts w:hAnsi="宋体"/>
                <w:color w:val="000000"/>
                <w:sz w:val="24"/>
              </w:rPr>
              <w:t>4</w:t>
            </w:r>
          </w:p>
        </w:tc>
        <w:tc>
          <w:tcPr>
            <w:tcW w:w="8987" w:type="dxa"/>
            <w:tcBorders>
              <w:top w:val="single" w:color="000000" w:sz="4" w:space="0"/>
              <w:left w:val="single" w:color="000000" w:sz="4" w:space="0"/>
              <w:bottom w:val="single" w:color="000000" w:sz="4" w:space="0"/>
              <w:right w:val="single" w:color="000000" w:sz="4" w:space="0"/>
            </w:tcBorders>
          </w:tcPr>
          <w:p>
            <w:pPr>
              <w:spacing w:line="360" w:lineRule="exact"/>
              <w:ind w:hanging="1"/>
              <w:jc w:val="left"/>
              <w:rPr>
                <w:rFonts w:ascii="宋体" w:hAnsi="宋体"/>
                <w:bCs/>
                <w:color w:val="000000"/>
                <w:sz w:val="24"/>
              </w:rPr>
            </w:pPr>
            <w:r>
              <w:rPr>
                <w:rFonts w:hAnsi="宋体"/>
                <w:color w:val="000000"/>
                <w:sz w:val="24"/>
              </w:rPr>
              <w:t>备选方案</w:t>
            </w:r>
            <w:r>
              <w:rPr>
                <w:rFonts w:hint="eastAsia" w:hAnsi="宋体"/>
                <w:color w:val="000000"/>
                <w:sz w:val="24"/>
              </w:rPr>
              <w:t>：</w:t>
            </w:r>
            <w:r>
              <w:rPr>
                <w:rFonts w:hAnsi="宋体"/>
                <w:color w:val="000000"/>
                <w:sz w:val="24"/>
              </w:rPr>
              <w:t>不接受</w:t>
            </w:r>
            <w:r>
              <w:rPr>
                <w:rFonts w:hint="eastAsia" w:hAnsi="宋体"/>
                <w:color w:val="000000"/>
                <w:sz w:val="2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color w:val="000000"/>
                <w:sz w:val="24"/>
              </w:rPr>
            </w:pPr>
            <w:r>
              <w:rPr>
                <w:rFonts w:hAnsi="宋体"/>
                <w:color w:val="000000"/>
                <w:sz w:val="24"/>
              </w:rPr>
              <w:t>5</w:t>
            </w:r>
          </w:p>
        </w:tc>
        <w:tc>
          <w:tcPr>
            <w:tcW w:w="8987" w:type="dxa"/>
            <w:tcBorders>
              <w:top w:val="single" w:color="000000" w:sz="4" w:space="0"/>
              <w:left w:val="single" w:color="000000" w:sz="4" w:space="0"/>
              <w:bottom w:val="single" w:color="000000" w:sz="4" w:space="0"/>
              <w:right w:val="single" w:color="000000" w:sz="4" w:space="0"/>
            </w:tcBorders>
          </w:tcPr>
          <w:p>
            <w:pPr>
              <w:pStyle w:val="23"/>
              <w:spacing w:line="420" w:lineRule="exact"/>
              <w:rPr>
                <w:rFonts w:hAnsi="宋体"/>
                <w:color w:val="000000"/>
                <w:sz w:val="24"/>
              </w:rPr>
            </w:pPr>
            <w:r>
              <w:rPr>
                <w:rFonts w:hAnsi="宋体"/>
                <w:color w:val="000000"/>
                <w:sz w:val="24"/>
              </w:rPr>
              <w:t>磋商报价申请文件份数：</w:t>
            </w:r>
            <w:r>
              <w:rPr>
                <w:rFonts w:hAnsi="宋体"/>
                <w:sz w:val="24"/>
              </w:rPr>
              <w:t>纸质文件</w:t>
            </w:r>
            <w:r>
              <w:rPr>
                <w:rFonts w:hint="eastAsia" w:hAnsi="宋体"/>
                <w:sz w:val="24"/>
              </w:rPr>
              <w:t>二</w:t>
            </w:r>
            <w:r>
              <w:rPr>
                <w:rFonts w:hAnsi="宋体"/>
                <w:sz w:val="24"/>
              </w:rPr>
              <w:t>份</w:t>
            </w:r>
            <w:r>
              <w:rPr>
                <w:rFonts w:hint="eastAsia" w:hAnsi="宋体"/>
                <w:sz w:val="24"/>
              </w:rPr>
              <w:t>（一正一副，副本可由正本复印而得）。</w:t>
            </w:r>
            <w:r>
              <w:rPr>
                <w:rFonts w:hint="eastAsia" w:hAnsi="宋体"/>
                <w:color w:val="000000"/>
                <w:sz w:val="24"/>
              </w:rPr>
              <w:t>供应商应在申请文件侧面书脊部分写明项目名称、招标编号、供应商名称。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color w:val="000000"/>
                <w:sz w:val="24"/>
              </w:rPr>
            </w:pPr>
            <w:r>
              <w:rPr>
                <w:rFonts w:hAnsi="宋体"/>
                <w:color w:val="000000"/>
                <w:sz w:val="24"/>
              </w:rPr>
              <w:t>6</w:t>
            </w:r>
          </w:p>
        </w:tc>
        <w:tc>
          <w:tcPr>
            <w:tcW w:w="8987" w:type="dxa"/>
            <w:tcBorders>
              <w:top w:val="single" w:color="000000" w:sz="4" w:space="0"/>
              <w:left w:val="single" w:color="000000" w:sz="4" w:space="0"/>
              <w:bottom w:val="single" w:color="000000" w:sz="4" w:space="0"/>
              <w:right w:val="single" w:color="000000" w:sz="4" w:space="0"/>
            </w:tcBorders>
          </w:tcPr>
          <w:p>
            <w:pPr>
              <w:pStyle w:val="23"/>
              <w:spacing w:line="420" w:lineRule="exact"/>
              <w:rPr>
                <w:rFonts w:hAnsi="宋体"/>
                <w:sz w:val="24"/>
              </w:rPr>
            </w:pPr>
            <w:r>
              <w:rPr>
                <w:rFonts w:hAnsi="宋体"/>
                <w:sz w:val="24"/>
              </w:rPr>
              <w:t>磋商报价申请文件递交截止时间：</w:t>
            </w:r>
            <w:r>
              <w:rPr>
                <w:rFonts w:hAnsi="宋体"/>
                <w:sz w:val="24"/>
                <w:u w:val="single"/>
              </w:rPr>
              <w:t>20</w:t>
            </w:r>
            <w:r>
              <w:rPr>
                <w:rFonts w:hint="eastAsia" w:hAnsi="宋体"/>
                <w:sz w:val="24"/>
                <w:u w:val="single"/>
              </w:rPr>
              <w:t>2</w:t>
            </w:r>
            <w:r>
              <w:rPr>
                <w:rFonts w:hAnsi="宋体"/>
                <w:sz w:val="24"/>
                <w:u w:val="single"/>
              </w:rPr>
              <w:t>3</w:t>
            </w:r>
            <w:r>
              <w:rPr>
                <w:rFonts w:hAnsi="宋体"/>
                <w:sz w:val="24"/>
              </w:rPr>
              <w:t>年</w:t>
            </w:r>
            <w:r>
              <w:rPr>
                <w:rFonts w:hAnsi="宋体"/>
                <w:sz w:val="24"/>
                <w:u w:val="single"/>
              </w:rPr>
              <w:t xml:space="preserve">  </w:t>
            </w:r>
            <w:r>
              <w:rPr>
                <w:rFonts w:hAnsi="宋体"/>
                <w:sz w:val="24"/>
              </w:rPr>
              <w:t>月</w:t>
            </w:r>
            <w:r>
              <w:rPr>
                <w:rFonts w:hAnsi="宋体"/>
                <w:sz w:val="24"/>
                <w:u w:val="single"/>
              </w:rPr>
              <w:t xml:space="preserve">   </w:t>
            </w:r>
            <w:r>
              <w:rPr>
                <w:rFonts w:hAnsi="宋体"/>
                <w:sz w:val="24"/>
              </w:rPr>
              <w:t>日</w:t>
            </w:r>
            <w:r>
              <w:rPr>
                <w:rFonts w:hAnsi="宋体"/>
                <w:sz w:val="24"/>
                <w:u w:val="single"/>
              </w:rPr>
              <w:t xml:space="preserve"> 11:30</w:t>
            </w:r>
            <w:r>
              <w:rPr>
                <w:rFonts w:hAnsi="宋体"/>
                <w:sz w:val="24"/>
              </w:rPr>
              <w:t>时（北京时间）</w:t>
            </w:r>
            <w:r>
              <w:rPr>
                <w:rFonts w:hint="eastAsia" w:hAnsi="宋体"/>
                <w:sz w:val="24"/>
              </w:rPr>
              <w:t>；</w:t>
            </w:r>
          </w:p>
          <w:p>
            <w:pPr>
              <w:pStyle w:val="23"/>
              <w:spacing w:line="420" w:lineRule="exact"/>
              <w:rPr>
                <w:rFonts w:hAnsi="宋体"/>
                <w:sz w:val="24"/>
              </w:rPr>
            </w:pPr>
            <w:r>
              <w:rPr>
                <w:rFonts w:hAnsi="宋体"/>
                <w:sz w:val="24"/>
              </w:rPr>
              <w:t>磋商报价申请文件递交地点：</w:t>
            </w:r>
            <w:r>
              <w:rPr>
                <w:rFonts w:hint="eastAsia" w:hAnsi="宋体" w:cs="宋体"/>
                <w:sz w:val="24"/>
              </w:rPr>
              <w:t xml:space="preserve">    （</w:t>
            </w:r>
            <w:r>
              <w:rPr>
                <w:rFonts w:hAnsi="宋体" w:cs="宋体"/>
                <w:sz w:val="24"/>
                <w:szCs w:val="24"/>
              </w:rPr>
              <w:t>湖北省武汉市武汉经济技术开发区东风大道816号</w:t>
            </w:r>
            <w:r>
              <w:rPr>
                <w:rFonts w:hint="eastAsia" w:hAnsi="宋体" w:cs="宋体"/>
                <w:sz w:val="24"/>
              </w:rPr>
              <w:t>）</w:t>
            </w:r>
            <w:r>
              <w:rPr>
                <w:rFonts w:hint="eastAsia" w:cs="宋体"/>
                <w:kern w:val="0"/>
                <w:sz w:val="2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color w:val="000000"/>
                <w:sz w:val="24"/>
              </w:rPr>
            </w:pPr>
            <w:r>
              <w:rPr>
                <w:rFonts w:hAnsi="宋体"/>
                <w:color w:val="000000"/>
                <w:sz w:val="24"/>
              </w:rPr>
              <w:t>7</w:t>
            </w:r>
          </w:p>
        </w:tc>
        <w:tc>
          <w:tcPr>
            <w:tcW w:w="8987" w:type="dxa"/>
            <w:tcBorders>
              <w:top w:val="single" w:color="000000" w:sz="4" w:space="0"/>
              <w:left w:val="single" w:color="000000" w:sz="4" w:space="0"/>
              <w:bottom w:val="single" w:color="000000" w:sz="4" w:space="0"/>
              <w:right w:val="single" w:color="000000" w:sz="4" w:space="0"/>
            </w:tcBorders>
          </w:tcPr>
          <w:p>
            <w:pPr>
              <w:pStyle w:val="23"/>
              <w:spacing w:line="420" w:lineRule="exact"/>
              <w:rPr>
                <w:rFonts w:hAnsi="宋体"/>
                <w:sz w:val="24"/>
              </w:rPr>
            </w:pPr>
            <w:r>
              <w:rPr>
                <w:rFonts w:hAnsi="宋体"/>
                <w:sz w:val="24"/>
              </w:rPr>
              <w:t>竞争性磋商开始时间：</w:t>
            </w:r>
            <w:r>
              <w:rPr>
                <w:rFonts w:hAnsi="宋体"/>
                <w:sz w:val="24"/>
                <w:u w:val="single"/>
              </w:rPr>
              <w:t>20</w:t>
            </w:r>
            <w:r>
              <w:rPr>
                <w:rFonts w:hint="eastAsia" w:hAnsi="宋体"/>
                <w:sz w:val="24"/>
                <w:u w:val="single"/>
              </w:rPr>
              <w:t>2</w:t>
            </w:r>
            <w:r>
              <w:rPr>
                <w:rFonts w:hAnsi="宋体"/>
                <w:sz w:val="24"/>
                <w:u w:val="single"/>
              </w:rPr>
              <w:t>3</w:t>
            </w:r>
            <w:r>
              <w:rPr>
                <w:rFonts w:hAnsi="宋体"/>
                <w:sz w:val="24"/>
              </w:rPr>
              <w:t>年</w:t>
            </w:r>
            <w:r>
              <w:rPr>
                <w:rFonts w:hAnsi="宋体"/>
                <w:sz w:val="24"/>
                <w:u w:val="single"/>
              </w:rPr>
              <w:t xml:space="preserve">  </w:t>
            </w:r>
            <w:r>
              <w:rPr>
                <w:rFonts w:hAnsi="宋体"/>
                <w:sz w:val="24"/>
              </w:rPr>
              <w:t>月</w:t>
            </w:r>
            <w:r>
              <w:rPr>
                <w:rFonts w:hAnsi="宋体"/>
                <w:sz w:val="24"/>
                <w:u w:val="single"/>
              </w:rPr>
              <w:t xml:space="preserve">   </w:t>
            </w:r>
            <w:r>
              <w:rPr>
                <w:rFonts w:hAnsi="宋体"/>
                <w:sz w:val="24"/>
              </w:rPr>
              <w:t>日</w:t>
            </w:r>
            <w:r>
              <w:rPr>
                <w:rFonts w:hAnsi="宋体"/>
                <w:sz w:val="24"/>
                <w:u w:val="single"/>
              </w:rPr>
              <w:t xml:space="preserve"> 14:30</w:t>
            </w:r>
            <w:r>
              <w:rPr>
                <w:rFonts w:hAnsi="宋体"/>
                <w:sz w:val="24"/>
              </w:rPr>
              <w:t>时（北京时间）</w:t>
            </w:r>
            <w:r>
              <w:rPr>
                <w:rFonts w:hint="eastAsia" w:hAnsi="宋体"/>
                <w:sz w:val="24"/>
              </w:rPr>
              <w:t>；</w:t>
            </w:r>
          </w:p>
          <w:p>
            <w:pPr>
              <w:pStyle w:val="23"/>
              <w:spacing w:line="420" w:lineRule="exact"/>
              <w:rPr>
                <w:rFonts w:hAnsi="宋体"/>
                <w:sz w:val="24"/>
              </w:rPr>
            </w:pPr>
            <w:r>
              <w:rPr>
                <w:rFonts w:hAnsi="宋体"/>
                <w:sz w:val="24"/>
              </w:rPr>
              <w:t>竞争性磋商地点：</w:t>
            </w:r>
            <w:r>
              <w:rPr>
                <w:rFonts w:hint="eastAsia" w:hAnsi="宋体" w:cs="宋体"/>
                <w:sz w:val="24"/>
              </w:rPr>
              <w:t xml:space="preserve">    （</w:t>
            </w:r>
            <w:r>
              <w:rPr>
                <w:rFonts w:hAnsi="宋体" w:cs="宋体"/>
                <w:sz w:val="24"/>
                <w:szCs w:val="24"/>
              </w:rPr>
              <w:t>湖北省武汉市武汉经济技术开发区东风大道816号</w:t>
            </w:r>
            <w:r>
              <w:rPr>
                <w:rFonts w:hint="eastAsia" w:hAnsi="宋体" w:cs="宋体"/>
                <w:sz w:val="24"/>
              </w:rPr>
              <w:t>）</w:t>
            </w:r>
            <w:r>
              <w:rPr>
                <w:rFonts w:hint="eastAsia" w:cs="宋体"/>
                <w:kern w:val="0"/>
                <w:sz w:val="2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color w:val="000000"/>
                <w:sz w:val="24"/>
              </w:rPr>
            </w:pPr>
            <w:r>
              <w:rPr>
                <w:rFonts w:hAnsi="宋体"/>
                <w:color w:val="000000"/>
                <w:sz w:val="24"/>
              </w:rPr>
              <w:t>8</w:t>
            </w:r>
          </w:p>
        </w:tc>
        <w:tc>
          <w:tcPr>
            <w:tcW w:w="8987" w:type="dxa"/>
            <w:tcBorders>
              <w:top w:val="single" w:color="000000" w:sz="4" w:space="0"/>
              <w:left w:val="single" w:color="000000" w:sz="4" w:space="0"/>
              <w:bottom w:val="single" w:color="000000" w:sz="4" w:space="0"/>
              <w:right w:val="single" w:color="000000" w:sz="4" w:space="0"/>
            </w:tcBorders>
          </w:tcPr>
          <w:p>
            <w:pPr>
              <w:spacing w:line="420" w:lineRule="exact"/>
              <w:rPr>
                <w:rFonts w:ascii="宋体" w:hAnsi="宋体"/>
                <w:sz w:val="24"/>
              </w:rPr>
            </w:pPr>
            <w:r>
              <w:rPr>
                <w:rFonts w:hint="eastAsia" w:ascii="宋体" w:hAnsi="宋体"/>
                <w:sz w:val="24"/>
              </w:rPr>
              <w:t>信息发布媒介：    官网。</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sz w:val="24"/>
              </w:rPr>
            </w:pPr>
            <w:r>
              <w:rPr>
                <w:rFonts w:hAnsi="宋体"/>
                <w:sz w:val="24"/>
              </w:rPr>
              <w:t>9</w:t>
            </w:r>
          </w:p>
        </w:tc>
        <w:tc>
          <w:tcPr>
            <w:tcW w:w="89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olor w:val="000000"/>
                <w:sz w:val="24"/>
              </w:rPr>
            </w:pPr>
            <w:r>
              <w:rPr>
                <w:rFonts w:hint="eastAsia" w:ascii="宋体" w:hAnsi="宋体"/>
                <w:color w:val="000000"/>
                <w:sz w:val="24"/>
              </w:rPr>
              <w:t>解释权：构成本采购文件的各个组成文件应互为解释，互为说明；如有不明确或不一致，构成合同文件组成内容的，以合同文件约定内容为准，且以专用合同条款约定的合同文件优先顺序解释；除采购文件中有特别规定外，仅适用于采购阶段的规定，按竞争性磋商公告、报价人须知、竞争性磋商办法、报价申请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23"/>
              <w:spacing w:line="420" w:lineRule="exact"/>
              <w:jc w:val="center"/>
              <w:rPr>
                <w:rFonts w:hAnsi="宋体"/>
                <w:sz w:val="24"/>
              </w:rPr>
            </w:pPr>
            <w:bookmarkStart w:id="35" w:name="_Toc17009837"/>
            <w:bookmarkStart w:id="36" w:name="_Toc48525813"/>
            <w:bookmarkStart w:id="37" w:name="_Toc48458832"/>
            <w:bookmarkStart w:id="38" w:name="_Toc47852422"/>
            <w:r>
              <w:rPr>
                <w:rFonts w:hAnsi="宋体"/>
                <w:sz w:val="24"/>
              </w:rPr>
              <w:t>10</w:t>
            </w:r>
          </w:p>
        </w:tc>
        <w:tc>
          <w:tcPr>
            <w:tcW w:w="89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olor w:val="000000"/>
                <w:sz w:val="24"/>
              </w:rPr>
            </w:pPr>
            <w:r>
              <w:rPr>
                <w:rFonts w:hint="eastAsia" w:ascii="宋体" w:hAnsi="宋体"/>
                <w:color w:val="000000"/>
                <w:sz w:val="24"/>
              </w:rPr>
              <w:t>采购标的所属行业：软件和信息技术服务业。</w:t>
            </w:r>
          </w:p>
        </w:tc>
      </w:tr>
    </w:tbl>
    <w:p>
      <w:pPr>
        <w:jc w:val="center"/>
        <w:rPr>
          <w:rFonts w:ascii="宋体" w:hAnsi="宋体"/>
          <w:b/>
          <w:bCs/>
          <w:color w:val="000000"/>
          <w:sz w:val="28"/>
        </w:rPr>
      </w:pPr>
      <w:r>
        <w:rPr>
          <w:rFonts w:ascii="宋体" w:hAnsi="宋体"/>
          <w:b/>
          <w:bCs/>
          <w:sz w:val="28"/>
          <w:szCs w:val="28"/>
        </w:rPr>
        <w:br w:type="page"/>
      </w:r>
      <w:r>
        <w:rPr>
          <w:rFonts w:hint="eastAsia" w:ascii="宋体" w:hAnsi="宋体"/>
          <w:b/>
          <w:bCs/>
          <w:color w:val="000000"/>
          <w:sz w:val="28"/>
        </w:rPr>
        <w:t>（二）磋商报价申请人须知</w:t>
      </w:r>
    </w:p>
    <w:p>
      <w:pPr>
        <w:spacing w:line="500" w:lineRule="exact"/>
        <w:jc w:val="center"/>
        <w:rPr>
          <w:rFonts w:ascii="宋体" w:hAnsi="宋体"/>
          <w:b/>
          <w:bCs/>
          <w:sz w:val="24"/>
        </w:rPr>
      </w:pPr>
      <w:r>
        <w:rPr>
          <w:rFonts w:ascii="宋体" w:hAnsi="宋体"/>
          <w:b/>
          <w:bCs/>
          <w:sz w:val="24"/>
        </w:rPr>
        <w:t>一、</w:t>
      </w:r>
      <w:r>
        <w:rPr>
          <w:rFonts w:hint="eastAsia" w:ascii="宋体" w:hAnsi="宋体"/>
          <w:b/>
          <w:bCs/>
          <w:sz w:val="24"/>
        </w:rPr>
        <w:t>磋商报价申请文件</w:t>
      </w:r>
      <w:r>
        <w:rPr>
          <w:rFonts w:ascii="宋体" w:hAnsi="宋体"/>
          <w:b/>
          <w:bCs/>
          <w:sz w:val="24"/>
        </w:rPr>
        <w:t>的编制</w:t>
      </w:r>
      <w:bookmarkEnd w:id="35"/>
    </w:p>
    <w:p>
      <w:pPr>
        <w:spacing w:line="500" w:lineRule="exact"/>
        <w:rPr>
          <w:rFonts w:ascii="宋体" w:hAnsi="宋体"/>
          <w:bCs/>
          <w:sz w:val="24"/>
        </w:rPr>
      </w:pPr>
      <w:bookmarkStart w:id="39" w:name="_Toc17009838"/>
      <w:r>
        <w:rPr>
          <w:rFonts w:hint="eastAsia" w:ascii="宋体" w:hAnsi="宋体"/>
          <w:bCs/>
          <w:sz w:val="24"/>
        </w:rPr>
        <w:t>1、要求</w:t>
      </w:r>
      <w:bookmarkEnd w:id="39"/>
    </w:p>
    <w:p>
      <w:pPr>
        <w:spacing w:line="500" w:lineRule="exact"/>
        <w:ind w:firstLine="360"/>
        <w:rPr>
          <w:rFonts w:ascii="宋体" w:hAnsi="宋体"/>
          <w:sz w:val="24"/>
        </w:rPr>
      </w:pPr>
      <w:r>
        <w:rPr>
          <w:rFonts w:hint="eastAsia" w:ascii="宋体" w:hAnsi="宋体"/>
          <w:sz w:val="24"/>
        </w:rPr>
        <w:t>（1）磋商报价申请人应详细阅读采购文件的全部内容，按采购文件的要求提供磋商报价申请文件，并保证所提供的全部资料的真实性，以使其磋商报价申请对采购文件做出实质性响应，否则，其磋商报价申请文件将被拒绝。</w:t>
      </w:r>
    </w:p>
    <w:p>
      <w:pPr>
        <w:spacing w:line="500" w:lineRule="exact"/>
        <w:ind w:firstLine="360"/>
        <w:rPr>
          <w:rFonts w:ascii="宋体" w:hAnsi="宋体"/>
          <w:sz w:val="24"/>
        </w:rPr>
      </w:pPr>
      <w:r>
        <w:rPr>
          <w:rFonts w:hint="eastAsia" w:ascii="宋体" w:hAnsi="宋体"/>
          <w:sz w:val="24"/>
        </w:rPr>
        <w:t>（2）磋商报价申请人应遵守中国的有关法律、法规，一旦参加磋商报价，则应承担相关法律责任。</w:t>
      </w:r>
      <w:bookmarkStart w:id="40" w:name="_Toc17009839"/>
    </w:p>
    <w:p>
      <w:pPr>
        <w:spacing w:line="500" w:lineRule="exact"/>
        <w:ind w:firstLine="360"/>
        <w:rPr>
          <w:rFonts w:ascii="宋体" w:hAnsi="宋体"/>
          <w:b/>
          <w:bCs/>
          <w:sz w:val="24"/>
        </w:rPr>
      </w:pPr>
      <w:r>
        <w:rPr>
          <w:rFonts w:hint="eastAsia" w:ascii="宋体" w:hAnsi="宋体"/>
          <w:b/>
          <w:bCs/>
          <w:sz w:val="24"/>
        </w:rPr>
        <w:t>（3）</w:t>
      </w:r>
      <w:r>
        <w:rPr>
          <w:rFonts w:ascii="宋体" w:hAnsi="宋体"/>
          <w:b/>
          <w:bCs/>
          <w:sz w:val="24"/>
        </w:rPr>
        <w:t xml:space="preserve"> 合格</w:t>
      </w:r>
      <w:r>
        <w:rPr>
          <w:rFonts w:hint="eastAsia" w:ascii="宋体" w:hAnsi="宋体"/>
          <w:b/>
          <w:bCs/>
          <w:sz w:val="24"/>
        </w:rPr>
        <w:t>供应商</w:t>
      </w:r>
    </w:p>
    <w:p>
      <w:pPr>
        <w:spacing w:line="500" w:lineRule="exact"/>
        <w:ind w:firstLine="360"/>
        <w:rPr>
          <w:rFonts w:ascii="宋体" w:hAnsi="宋体"/>
          <w:sz w:val="24"/>
        </w:rPr>
      </w:pPr>
      <w:r>
        <w:rPr>
          <w:rFonts w:hint="eastAsia" w:ascii="宋体" w:hAnsi="宋体"/>
          <w:sz w:val="24"/>
        </w:rPr>
        <w:t>3.1磋商报价申请人</w:t>
      </w:r>
      <w:r>
        <w:rPr>
          <w:rFonts w:ascii="宋体" w:hAnsi="宋体"/>
          <w:sz w:val="24"/>
        </w:rPr>
        <w:t>应符合</w:t>
      </w:r>
      <w:r>
        <w:rPr>
          <w:rFonts w:hint="eastAsia" w:ascii="宋体" w:hAnsi="宋体"/>
          <w:sz w:val="24"/>
        </w:rPr>
        <w:t>采购</w:t>
      </w:r>
      <w:r>
        <w:rPr>
          <w:rFonts w:ascii="宋体" w:hAnsi="宋体"/>
          <w:sz w:val="24"/>
        </w:rPr>
        <w:t>文件</w:t>
      </w:r>
      <w:r>
        <w:rPr>
          <w:rFonts w:hint="eastAsia" w:ascii="宋体" w:hAnsi="宋体"/>
          <w:sz w:val="24"/>
        </w:rPr>
        <w:t>“</w:t>
      </w:r>
      <w:r>
        <w:rPr>
          <w:rFonts w:hint="eastAsia" w:ascii="宋体" w:hAnsi="宋体"/>
          <w:b/>
          <w:sz w:val="24"/>
        </w:rPr>
        <w:t>磋商报价申请人</w:t>
      </w:r>
      <w:r>
        <w:rPr>
          <w:rFonts w:ascii="宋体" w:hAnsi="宋体"/>
          <w:b/>
          <w:sz w:val="24"/>
        </w:rPr>
        <w:t>须知前附表</w:t>
      </w:r>
      <w:r>
        <w:rPr>
          <w:rFonts w:hint="eastAsia" w:ascii="宋体" w:hAnsi="宋体"/>
          <w:sz w:val="24"/>
        </w:rPr>
        <w:t>”</w:t>
      </w:r>
      <w:r>
        <w:rPr>
          <w:rFonts w:ascii="宋体" w:hAnsi="宋体"/>
          <w:sz w:val="24"/>
        </w:rPr>
        <w:t>中规定的资格要求。</w:t>
      </w:r>
    </w:p>
    <w:p>
      <w:pPr>
        <w:spacing w:line="500" w:lineRule="exact"/>
        <w:ind w:firstLine="360"/>
        <w:rPr>
          <w:rFonts w:ascii="宋体" w:hAnsi="宋体"/>
          <w:sz w:val="24"/>
        </w:rPr>
      </w:pPr>
      <w:r>
        <w:rPr>
          <w:rFonts w:hint="eastAsia" w:ascii="宋体" w:hAnsi="宋体"/>
          <w:sz w:val="24"/>
        </w:rPr>
        <w:t>3</w:t>
      </w:r>
      <w:r>
        <w:rPr>
          <w:rFonts w:ascii="宋体" w:hAnsi="宋体"/>
          <w:sz w:val="24"/>
        </w:rPr>
        <w:t>.2</w:t>
      </w:r>
      <w:r>
        <w:rPr>
          <w:rFonts w:ascii="宋体" w:hAnsi="宋体"/>
          <w:b/>
          <w:sz w:val="24"/>
        </w:rPr>
        <w:t>法定代表人为同一个人的两个及两个以上法人、母公司、全资子公司及其控股公司，都不得在同一货物</w:t>
      </w:r>
      <w:r>
        <w:rPr>
          <w:rFonts w:hint="eastAsia" w:ascii="宋体" w:hAnsi="宋体"/>
          <w:b/>
          <w:sz w:val="24"/>
        </w:rPr>
        <w:t>采购</w:t>
      </w:r>
      <w:r>
        <w:rPr>
          <w:rFonts w:ascii="宋体" w:hAnsi="宋体"/>
          <w:b/>
          <w:sz w:val="24"/>
        </w:rPr>
        <w:t>中同时</w:t>
      </w:r>
      <w:r>
        <w:rPr>
          <w:rFonts w:hint="eastAsia" w:ascii="宋体" w:hAnsi="宋体"/>
          <w:b/>
          <w:sz w:val="24"/>
        </w:rPr>
        <w:t>报价</w:t>
      </w:r>
      <w:r>
        <w:rPr>
          <w:rFonts w:ascii="宋体" w:hAnsi="宋体"/>
          <w:b/>
          <w:sz w:val="24"/>
        </w:rPr>
        <w:t>。</w:t>
      </w:r>
    </w:p>
    <w:p>
      <w:pPr>
        <w:spacing w:line="500" w:lineRule="exact"/>
        <w:ind w:firstLine="36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3</w:t>
      </w:r>
      <w:r>
        <w:rPr>
          <w:rFonts w:hint="eastAsia" w:ascii="宋体" w:hAnsi="宋体"/>
          <w:color w:val="000000"/>
          <w:sz w:val="24"/>
        </w:rPr>
        <w:t>供应商磋商报价申请文件不得有下列情形：</w:t>
      </w:r>
    </w:p>
    <w:p>
      <w:pPr>
        <w:spacing w:line="360" w:lineRule="auto"/>
        <w:ind w:firstLine="540" w:firstLineChars="225"/>
        <w:jc w:val="left"/>
        <w:rPr>
          <w:rFonts w:ascii="宋体" w:hAnsi="宋体"/>
          <w:color w:val="000000"/>
          <w:sz w:val="24"/>
        </w:rPr>
      </w:pPr>
      <w:r>
        <w:rPr>
          <w:rFonts w:hint="eastAsia" w:ascii="宋体" w:hAnsi="宋体"/>
          <w:color w:val="000000"/>
          <w:sz w:val="24"/>
        </w:rPr>
        <w:t>1）供应商之间的磋商报价申请文件由同一单位（或者个人）编制或者提供咨询服务的。</w:t>
      </w:r>
    </w:p>
    <w:p>
      <w:pPr>
        <w:spacing w:line="360" w:lineRule="auto"/>
        <w:ind w:firstLine="540" w:firstLineChars="225"/>
        <w:jc w:val="left"/>
        <w:rPr>
          <w:rFonts w:ascii="宋体" w:hAnsi="宋体"/>
          <w:color w:val="000000"/>
          <w:sz w:val="24"/>
        </w:rPr>
      </w:pPr>
      <w:r>
        <w:rPr>
          <w:rFonts w:hint="eastAsia" w:ascii="宋体" w:hAnsi="宋体"/>
          <w:color w:val="000000"/>
          <w:sz w:val="24"/>
        </w:rPr>
        <w:t>2）供应商之间的磋商报价申请文件的相关资料相互混装的。</w:t>
      </w:r>
    </w:p>
    <w:p>
      <w:pPr>
        <w:spacing w:line="360" w:lineRule="auto"/>
        <w:ind w:firstLine="540" w:firstLineChars="225"/>
        <w:jc w:val="left"/>
        <w:rPr>
          <w:rFonts w:ascii="宋体" w:hAnsi="宋体"/>
          <w:color w:val="000000"/>
          <w:sz w:val="24"/>
        </w:rPr>
      </w:pPr>
      <w:r>
        <w:rPr>
          <w:rFonts w:hint="eastAsia" w:ascii="宋体" w:hAnsi="宋体"/>
          <w:color w:val="000000"/>
          <w:sz w:val="24"/>
        </w:rPr>
        <w:t>3）供应商之间的报价保证金出自同一单位、个人或者同一银行账户的。</w:t>
      </w:r>
    </w:p>
    <w:p>
      <w:pPr>
        <w:spacing w:line="360" w:lineRule="auto"/>
        <w:ind w:firstLine="540" w:firstLineChars="225"/>
        <w:jc w:val="left"/>
        <w:rPr>
          <w:rFonts w:ascii="宋体" w:hAnsi="宋体"/>
          <w:color w:val="000000"/>
          <w:sz w:val="24"/>
        </w:rPr>
      </w:pPr>
      <w:r>
        <w:rPr>
          <w:rFonts w:hint="eastAsia" w:ascii="宋体" w:hAnsi="宋体"/>
          <w:color w:val="000000"/>
          <w:sz w:val="24"/>
        </w:rPr>
        <w:t>4）供应商之间的</w:t>
      </w:r>
      <w:r>
        <w:rPr>
          <w:rFonts w:ascii="宋体" w:hAnsi="宋体"/>
          <w:color w:val="000000"/>
          <w:sz w:val="24"/>
        </w:rPr>
        <w:t>单位负责人为同一人或者</w:t>
      </w:r>
      <w:r>
        <w:rPr>
          <w:rFonts w:hint="eastAsia" w:ascii="宋体" w:hAnsi="宋体"/>
          <w:color w:val="000000"/>
          <w:sz w:val="24"/>
        </w:rPr>
        <w:t>供应商之间</w:t>
      </w:r>
      <w:r>
        <w:rPr>
          <w:rFonts w:ascii="宋体" w:hAnsi="宋体"/>
          <w:color w:val="000000"/>
          <w:sz w:val="24"/>
        </w:rPr>
        <w:t>存在直接控股、管理关系的</w:t>
      </w:r>
      <w:r>
        <w:rPr>
          <w:rFonts w:hint="eastAsia" w:ascii="宋体" w:hAnsi="宋体"/>
          <w:color w:val="000000"/>
          <w:sz w:val="24"/>
        </w:rPr>
        <w:t>。</w:t>
      </w:r>
    </w:p>
    <w:p>
      <w:pPr>
        <w:spacing w:line="360" w:lineRule="auto"/>
        <w:ind w:firstLine="540" w:firstLineChars="225"/>
        <w:jc w:val="left"/>
        <w:rPr>
          <w:rFonts w:ascii="宋体" w:hAnsi="宋体"/>
          <w:color w:val="000000"/>
          <w:sz w:val="24"/>
        </w:rPr>
      </w:pPr>
      <w:r>
        <w:rPr>
          <w:rFonts w:hint="eastAsia" w:ascii="宋体" w:hAnsi="宋体"/>
          <w:color w:val="000000"/>
          <w:sz w:val="24"/>
        </w:rPr>
        <w:t>5）供应商报价超过采购控制价的。</w:t>
      </w:r>
    </w:p>
    <w:p>
      <w:pPr>
        <w:spacing w:line="360" w:lineRule="auto"/>
        <w:ind w:firstLine="540" w:firstLineChars="225"/>
        <w:jc w:val="left"/>
        <w:rPr>
          <w:rFonts w:ascii="宋体" w:hAnsi="宋体"/>
          <w:color w:val="000000"/>
          <w:sz w:val="24"/>
        </w:rPr>
      </w:pPr>
      <w:r>
        <w:rPr>
          <w:rFonts w:hint="eastAsia" w:ascii="宋体" w:hAnsi="宋体"/>
          <w:color w:val="000000"/>
          <w:sz w:val="24"/>
        </w:rPr>
        <w:t>6）违反国家、省、市（州）相关法律法规的。</w:t>
      </w:r>
    </w:p>
    <w:p>
      <w:pPr>
        <w:spacing w:line="500" w:lineRule="exact"/>
        <w:ind w:firstLine="36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4“</w:t>
      </w:r>
      <w:r>
        <w:rPr>
          <w:rFonts w:hint="eastAsia" w:ascii="宋体" w:hAnsi="宋体"/>
          <w:b/>
          <w:sz w:val="24"/>
        </w:rPr>
        <w:t>磋商报价申请人</w:t>
      </w:r>
      <w:r>
        <w:rPr>
          <w:rFonts w:ascii="宋体" w:hAnsi="宋体"/>
          <w:b/>
          <w:sz w:val="24"/>
        </w:rPr>
        <w:t>须知前附表</w:t>
      </w:r>
      <w:r>
        <w:rPr>
          <w:rFonts w:hint="eastAsia" w:ascii="宋体" w:hAnsi="宋体"/>
          <w:sz w:val="24"/>
        </w:rPr>
        <w:t>”</w:t>
      </w:r>
      <w:r>
        <w:rPr>
          <w:rFonts w:ascii="宋体" w:hAnsi="宋体"/>
          <w:sz w:val="24"/>
        </w:rPr>
        <w:t>规定接受联合体</w:t>
      </w:r>
      <w:r>
        <w:rPr>
          <w:rFonts w:hint="eastAsia" w:ascii="宋体" w:hAnsi="宋体"/>
          <w:sz w:val="24"/>
        </w:rPr>
        <w:t>报价</w:t>
      </w:r>
      <w:r>
        <w:rPr>
          <w:rFonts w:ascii="宋体" w:hAnsi="宋体"/>
          <w:sz w:val="24"/>
        </w:rPr>
        <w:t>的，应遵守以下规定：</w:t>
      </w:r>
    </w:p>
    <w:p>
      <w:pPr>
        <w:spacing w:line="500" w:lineRule="exact"/>
        <w:ind w:firstLine="360"/>
        <w:rPr>
          <w:rFonts w:ascii="宋体" w:hAnsi="宋体"/>
          <w:sz w:val="24"/>
        </w:rPr>
      </w:pPr>
      <w:r>
        <w:rPr>
          <w:rFonts w:ascii="宋体" w:hAnsi="宋体"/>
          <w:sz w:val="24"/>
        </w:rPr>
        <w:t>1)两个以上法人或者其他组织可以组成一个联合体，以一个</w:t>
      </w:r>
      <w:r>
        <w:rPr>
          <w:rFonts w:hint="eastAsia" w:ascii="宋体" w:hAnsi="宋体"/>
          <w:sz w:val="24"/>
        </w:rPr>
        <w:t>报价</w:t>
      </w:r>
      <w:r>
        <w:rPr>
          <w:rFonts w:ascii="宋体" w:hAnsi="宋体"/>
          <w:sz w:val="24"/>
        </w:rPr>
        <w:t>人的身份共同</w:t>
      </w:r>
      <w:r>
        <w:rPr>
          <w:rFonts w:hint="eastAsia" w:ascii="宋体" w:hAnsi="宋体"/>
          <w:sz w:val="24"/>
        </w:rPr>
        <w:t>报价</w:t>
      </w:r>
      <w:r>
        <w:rPr>
          <w:rFonts w:ascii="宋体" w:hAnsi="宋体"/>
          <w:sz w:val="24"/>
        </w:rPr>
        <w:t>。</w:t>
      </w:r>
    </w:p>
    <w:p>
      <w:pPr>
        <w:spacing w:line="500" w:lineRule="exact"/>
        <w:ind w:firstLine="360"/>
        <w:rPr>
          <w:rFonts w:ascii="宋体" w:hAnsi="宋体"/>
          <w:sz w:val="24"/>
        </w:rPr>
      </w:pPr>
      <w:r>
        <w:rPr>
          <w:rFonts w:ascii="宋体" w:hAnsi="宋体"/>
          <w:sz w:val="24"/>
        </w:rPr>
        <w:t>2)</w:t>
      </w:r>
      <w:r>
        <w:rPr>
          <w:rFonts w:hint="eastAsia" w:ascii="宋体" w:hAnsi="宋体"/>
          <w:sz w:val="24"/>
        </w:rPr>
        <w:t>采购</w:t>
      </w:r>
      <w:r>
        <w:rPr>
          <w:rFonts w:ascii="宋体" w:hAnsi="宋体"/>
          <w:sz w:val="24"/>
        </w:rPr>
        <w:t>人根据采购项目的特殊要求规定</w:t>
      </w:r>
      <w:r>
        <w:rPr>
          <w:rFonts w:hint="eastAsia" w:ascii="宋体" w:hAnsi="宋体"/>
          <w:sz w:val="24"/>
        </w:rPr>
        <w:t>报价</w:t>
      </w:r>
      <w:r>
        <w:rPr>
          <w:rFonts w:ascii="宋体" w:hAnsi="宋体"/>
          <w:sz w:val="24"/>
        </w:rPr>
        <w:t>人特定条件的，联合体各方中至少应有一方符合</w:t>
      </w:r>
      <w:r>
        <w:rPr>
          <w:rFonts w:hint="eastAsia" w:ascii="宋体" w:hAnsi="宋体"/>
          <w:sz w:val="24"/>
        </w:rPr>
        <w:t>采购</w:t>
      </w:r>
      <w:r>
        <w:rPr>
          <w:rFonts w:ascii="宋体" w:hAnsi="宋体"/>
          <w:sz w:val="24"/>
        </w:rPr>
        <w:t>人规定的特定条件</w:t>
      </w:r>
      <w:r>
        <w:rPr>
          <w:rFonts w:hint="eastAsia" w:ascii="宋体" w:hAnsi="宋体"/>
          <w:sz w:val="24"/>
        </w:rPr>
        <w:t>。</w:t>
      </w:r>
    </w:p>
    <w:p>
      <w:pPr>
        <w:spacing w:line="500" w:lineRule="exact"/>
        <w:ind w:firstLine="360"/>
        <w:rPr>
          <w:rFonts w:ascii="宋体" w:hAnsi="宋体"/>
          <w:sz w:val="24"/>
        </w:rPr>
      </w:pPr>
      <w:r>
        <w:rPr>
          <w:rFonts w:ascii="宋体" w:hAnsi="宋体"/>
          <w:sz w:val="24"/>
        </w:rPr>
        <w:t>3)联合体各方应当签订共同</w:t>
      </w:r>
      <w:r>
        <w:rPr>
          <w:rFonts w:hint="eastAsia" w:ascii="宋体" w:hAnsi="宋体"/>
          <w:sz w:val="24"/>
        </w:rPr>
        <w:t>报价</w:t>
      </w:r>
      <w:r>
        <w:rPr>
          <w:rFonts w:ascii="宋体" w:hAnsi="宋体"/>
          <w:sz w:val="24"/>
        </w:rPr>
        <w:t>协议，明确约定联合体各方拟承担的工作和责任，并将共同协议连同</w:t>
      </w:r>
      <w:r>
        <w:rPr>
          <w:rFonts w:hint="eastAsia" w:ascii="宋体" w:hAnsi="宋体"/>
          <w:sz w:val="24"/>
        </w:rPr>
        <w:t>报价</w:t>
      </w:r>
      <w:r>
        <w:rPr>
          <w:rFonts w:ascii="宋体" w:hAnsi="宋体"/>
          <w:sz w:val="24"/>
        </w:rPr>
        <w:t>文件一并提交</w:t>
      </w:r>
      <w:r>
        <w:rPr>
          <w:rFonts w:hint="eastAsia" w:ascii="宋体" w:hAnsi="宋体"/>
          <w:sz w:val="24"/>
        </w:rPr>
        <w:t>采购</w:t>
      </w:r>
      <w:r>
        <w:rPr>
          <w:rFonts w:ascii="宋体" w:hAnsi="宋体"/>
          <w:sz w:val="24"/>
        </w:rPr>
        <w:t>人。联合体</w:t>
      </w:r>
      <w:r>
        <w:rPr>
          <w:rFonts w:hint="eastAsia" w:ascii="宋体" w:hAnsi="宋体"/>
          <w:sz w:val="24"/>
        </w:rPr>
        <w:t>成交</w:t>
      </w:r>
      <w:r>
        <w:rPr>
          <w:rFonts w:ascii="宋体" w:hAnsi="宋体"/>
          <w:sz w:val="24"/>
        </w:rPr>
        <w:t>的，联合体各方应当共同与</w:t>
      </w:r>
      <w:r>
        <w:rPr>
          <w:rFonts w:hint="eastAsia" w:ascii="宋体" w:hAnsi="宋体"/>
          <w:sz w:val="24"/>
        </w:rPr>
        <w:t>采购</w:t>
      </w:r>
      <w:r>
        <w:rPr>
          <w:rFonts w:ascii="宋体" w:hAnsi="宋体"/>
          <w:sz w:val="24"/>
        </w:rPr>
        <w:t>人签订合同，就</w:t>
      </w:r>
      <w:r>
        <w:rPr>
          <w:rFonts w:hint="eastAsia" w:ascii="宋体" w:hAnsi="宋体"/>
          <w:sz w:val="24"/>
        </w:rPr>
        <w:t>成交</w:t>
      </w:r>
      <w:r>
        <w:rPr>
          <w:rFonts w:ascii="宋体" w:hAnsi="宋体"/>
          <w:sz w:val="24"/>
        </w:rPr>
        <w:t>项目向</w:t>
      </w:r>
      <w:r>
        <w:rPr>
          <w:rFonts w:hint="eastAsia" w:ascii="宋体" w:hAnsi="宋体"/>
          <w:sz w:val="24"/>
        </w:rPr>
        <w:t>采购</w:t>
      </w:r>
      <w:r>
        <w:rPr>
          <w:rFonts w:ascii="宋体" w:hAnsi="宋体"/>
          <w:sz w:val="24"/>
        </w:rPr>
        <w:t>人承担连带责任。</w:t>
      </w:r>
    </w:p>
    <w:p>
      <w:pPr>
        <w:spacing w:line="500" w:lineRule="exact"/>
        <w:ind w:firstLine="360"/>
        <w:rPr>
          <w:rFonts w:ascii="宋体" w:hAnsi="宋体"/>
          <w:sz w:val="24"/>
        </w:rPr>
      </w:pPr>
      <w:r>
        <w:rPr>
          <w:rFonts w:ascii="宋体" w:hAnsi="宋体"/>
          <w:sz w:val="24"/>
        </w:rPr>
        <w:t>4)联合体各方签订共同</w:t>
      </w:r>
      <w:r>
        <w:rPr>
          <w:rFonts w:hint="eastAsia" w:ascii="宋体" w:hAnsi="宋体"/>
          <w:sz w:val="24"/>
        </w:rPr>
        <w:t>报价</w:t>
      </w:r>
      <w:r>
        <w:rPr>
          <w:rFonts w:ascii="宋体" w:hAnsi="宋体"/>
          <w:sz w:val="24"/>
        </w:rPr>
        <w:t>协议后，不得再以自己名义单独</w:t>
      </w:r>
      <w:r>
        <w:rPr>
          <w:rFonts w:hint="eastAsia" w:ascii="宋体" w:hAnsi="宋体"/>
          <w:sz w:val="24"/>
        </w:rPr>
        <w:t>报价</w:t>
      </w:r>
      <w:r>
        <w:rPr>
          <w:rFonts w:ascii="宋体" w:hAnsi="宋体"/>
          <w:sz w:val="24"/>
        </w:rPr>
        <w:t>，也不得组成或参加其他联合体在同一项目中</w:t>
      </w:r>
      <w:r>
        <w:rPr>
          <w:rFonts w:hint="eastAsia" w:ascii="宋体" w:hAnsi="宋体"/>
          <w:sz w:val="24"/>
        </w:rPr>
        <w:t>报价</w:t>
      </w:r>
      <w:r>
        <w:rPr>
          <w:rFonts w:ascii="宋体" w:hAnsi="宋体"/>
          <w:sz w:val="24"/>
        </w:rPr>
        <w:t>；否则作废标处理。</w:t>
      </w:r>
    </w:p>
    <w:p>
      <w:pPr>
        <w:spacing w:line="500" w:lineRule="exact"/>
        <w:ind w:firstLine="36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5</w:t>
      </w:r>
      <w:r>
        <w:rPr>
          <w:rFonts w:ascii="宋体" w:hAnsi="宋体"/>
          <w:sz w:val="24"/>
        </w:rPr>
        <w:t xml:space="preserve"> 符合上述条件的</w:t>
      </w:r>
      <w:r>
        <w:rPr>
          <w:rFonts w:hint="eastAsia" w:ascii="宋体" w:hAnsi="宋体"/>
          <w:sz w:val="24"/>
        </w:rPr>
        <w:t>报价</w:t>
      </w:r>
      <w:r>
        <w:rPr>
          <w:rFonts w:ascii="宋体" w:hAnsi="宋体"/>
          <w:sz w:val="24"/>
        </w:rPr>
        <w:t>人应承担</w:t>
      </w:r>
      <w:r>
        <w:rPr>
          <w:rFonts w:hint="eastAsia" w:ascii="宋体" w:hAnsi="宋体"/>
          <w:sz w:val="24"/>
        </w:rPr>
        <w:t>报价</w:t>
      </w:r>
      <w:r>
        <w:rPr>
          <w:rFonts w:ascii="宋体" w:hAnsi="宋体"/>
          <w:sz w:val="24"/>
        </w:rPr>
        <w:t>及履约中应承担的全部责任与义务。</w:t>
      </w:r>
    </w:p>
    <w:p>
      <w:pPr>
        <w:spacing w:line="500" w:lineRule="exact"/>
        <w:ind w:firstLine="360"/>
        <w:rPr>
          <w:rFonts w:ascii="宋体" w:hAnsi="宋体"/>
          <w:sz w:val="24"/>
        </w:rPr>
      </w:pPr>
      <w:r>
        <w:rPr>
          <w:rFonts w:hint="eastAsia" w:ascii="宋体" w:hAnsi="宋体"/>
          <w:sz w:val="24"/>
        </w:rPr>
        <w:t>（4）费用承担：不管报价结果如何，供应商</w:t>
      </w:r>
      <w:r>
        <w:rPr>
          <w:rFonts w:ascii="宋体" w:hAnsi="宋体"/>
          <w:sz w:val="24"/>
        </w:rPr>
        <w:t>应承担其参加本</w:t>
      </w:r>
      <w:r>
        <w:rPr>
          <w:rFonts w:hint="eastAsia" w:ascii="宋体" w:hAnsi="宋体"/>
          <w:sz w:val="24"/>
        </w:rPr>
        <w:t>次采购</w:t>
      </w:r>
      <w:r>
        <w:rPr>
          <w:rFonts w:ascii="宋体" w:hAnsi="宋体"/>
          <w:sz w:val="24"/>
        </w:rPr>
        <w:t>活动自身所发生的费用</w:t>
      </w:r>
      <w:r>
        <w:rPr>
          <w:rFonts w:hint="eastAsia" w:ascii="宋体" w:hAnsi="宋体"/>
          <w:sz w:val="24"/>
        </w:rPr>
        <w:t>，采购人不给补偿。</w:t>
      </w:r>
    </w:p>
    <w:p>
      <w:pPr>
        <w:spacing w:line="500" w:lineRule="exact"/>
        <w:rPr>
          <w:rFonts w:ascii="宋体" w:hAnsi="宋体"/>
          <w:bCs/>
          <w:sz w:val="24"/>
        </w:rPr>
      </w:pPr>
      <w:r>
        <w:rPr>
          <w:rFonts w:hint="eastAsia" w:ascii="宋体" w:hAnsi="宋体"/>
          <w:bCs/>
          <w:sz w:val="24"/>
        </w:rPr>
        <w:t>2、报价</w:t>
      </w:r>
      <w:bookmarkEnd w:id="40"/>
      <w:r>
        <w:rPr>
          <w:rFonts w:hint="eastAsia" w:ascii="宋体" w:hAnsi="宋体"/>
          <w:bCs/>
          <w:sz w:val="24"/>
        </w:rPr>
        <w:t>要求</w:t>
      </w:r>
    </w:p>
    <w:p>
      <w:pPr>
        <w:spacing w:line="500" w:lineRule="exact"/>
        <w:ind w:firstLine="360" w:firstLineChars="150"/>
        <w:rPr>
          <w:rFonts w:ascii="宋体" w:hAnsi="宋体"/>
          <w:bCs/>
          <w:color w:val="000000"/>
          <w:sz w:val="24"/>
        </w:rPr>
      </w:pPr>
      <w:bookmarkStart w:id="41" w:name="_Toc17009840"/>
      <w:r>
        <w:rPr>
          <w:rFonts w:hint="eastAsia" w:ascii="宋体" w:hAnsi="宋体"/>
          <w:color w:val="000000"/>
          <w:sz w:val="24"/>
        </w:rPr>
        <w:t>（1）报价均为人民币，报价应含有本项目</w:t>
      </w:r>
      <w:r>
        <w:rPr>
          <w:rFonts w:hint="eastAsia" w:ascii="宋体" w:hAnsi="宋体"/>
          <w:bCs/>
          <w:color w:val="000000"/>
          <w:sz w:val="24"/>
        </w:rPr>
        <w:t>中所包含的所有费用。磋商报价申请人应根据磋商报价过程中对相关问题的询问和澄清，充分考虑完成本项目所需的所有费用，以二次报价作为最终报价。</w:t>
      </w:r>
    </w:p>
    <w:p>
      <w:pPr>
        <w:spacing w:line="500" w:lineRule="exact"/>
        <w:ind w:firstLine="360" w:firstLineChars="150"/>
        <w:rPr>
          <w:rFonts w:ascii="宋体" w:hAnsi="宋体"/>
          <w:color w:val="000000"/>
          <w:sz w:val="24"/>
        </w:rPr>
      </w:pPr>
      <w:r>
        <w:rPr>
          <w:rFonts w:hint="eastAsia" w:ascii="宋体" w:hAnsi="宋体"/>
          <w:color w:val="000000"/>
          <w:sz w:val="24"/>
        </w:rPr>
        <w:t>（2）具体报价要求详见</w:t>
      </w:r>
      <w:r>
        <w:rPr>
          <w:rFonts w:ascii="宋体" w:hAnsi="宋体"/>
          <w:color w:val="000000"/>
          <w:sz w:val="24"/>
        </w:rPr>
        <w:t>第</w:t>
      </w:r>
      <w:r>
        <w:rPr>
          <w:rFonts w:hint="eastAsia" w:ascii="宋体" w:hAnsi="宋体"/>
          <w:color w:val="000000"/>
          <w:sz w:val="24"/>
        </w:rPr>
        <w:t>五</w:t>
      </w:r>
      <w:r>
        <w:rPr>
          <w:rFonts w:ascii="宋体" w:hAnsi="宋体"/>
          <w:color w:val="000000"/>
          <w:sz w:val="24"/>
        </w:rPr>
        <w:t>章</w:t>
      </w:r>
      <w:r>
        <w:rPr>
          <w:rFonts w:hint="eastAsia" w:ascii="宋体" w:hAnsi="宋体"/>
          <w:color w:val="000000"/>
          <w:sz w:val="24"/>
        </w:rPr>
        <w:t>采购需求。</w:t>
      </w:r>
    </w:p>
    <w:p>
      <w:pPr>
        <w:spacing w:line="500" w:lineRule="exact"/>
        <w:ind w:firstLine="360"/>
        <w:rPr>
          <w:rFonts w:ascii="宋体" w:hAnsi="宋体"/>
          <w:sz w:val="24"/>
        </w:rPr>
      </w:pPr>
      <w:r>
        <w:rPr>
          <w:rFonts w:hint="eastAsia" w:ascii="宋体" w:hAnsi="宋体"/>
          <w:sz w:val="24"/>
        </w:rPr>
        <w:t>（3）磋商报价申请人不得哄抬报价，也不应低于成本价竞争，否则一经查实，其磋商报价申请将被拒绝。</w:t>
      </w:r>
    </w:p>
    <w:p>
      <w:pPr>
        <w:spacing w:line="500" w:lineRule="exact"/>
        <w:rPr>
          <w:rFonts w:ascii="宋体" w:hAnsi="宋体"/>
          <w:bCs/>
          <w:sz w:val="24"/>
        </w:rPr>
      </w:pPr>
      <w:r>
        <w:rPr>
          <w:rFonts w:hint="eastAsia" w:ascii="宋体" w:hAnsi="宋体"/>
          <w:bCs/>
          <w:sz w:val="24"/>
        </w:rPr>
        <w:t>3、语言和计量单位</w:t>
      </w:r>
      <w:bookmarkEnd w:id="41"/>
    </w:p>
    <w:p>
      <w:pPr>
        <w:spacing w:line="500" w:lineRule="exact"/>
        <w:ind w:firstLine="360"/>
        <w:rPr>
          <w:rFonts w:ascii="宋体" w:hAnsi="宋体"/>
          <w:sz w:val="24"/>
        </w:rPr>
      </w:pPr>
      <w:r>
        <w:rPr>
          <w:rFonts w:hint="eastAsia" w:ascii="宋体" w:hAnsi="宋体"/>
          <w:sz w:val="24"/>
        </w:rPr>
        <w:t>（1）磋商报价申请文件及磋商报价申请人与    的一切函、电往来均以中文书写。</w:t>
      </w:r>
    </w:p>
    <w:p>
      <w:pPr>
        <w:spacing w:line="500" w:lineRule="exact"/>
        <w:ind w:firstLine="360"/>
        <w:rPr>
          <w:rFonts w:ascii="宋体" w:hAnsi="宋体"/>
          <w:sz w:val="24"/>
        </w:rPr>
      </w:pPr>
      <w:r>
        <w:rPr>
          <w:rFonts w:hint="eastAsia" w:ascii="宋体" w:hAnsi="宋体"/>
          <w:sz w:val="24"/>
        </w:rPr>
        <w:t>（2）用非中文版印刷的技术资料、资格资质证书等，磋商报价申请人应提供符合中国有关法律、法规的中文译本，并以中文译本为准。</w:t>
      </w:r>
    </w:p>
    <w:p>
      <w:pPr>
        <w:spacing w:line="500" w:lineRule="exact"/>
        <w:ind w:firstLine="360"/>
        <w:rPr>
          <w:rFonts w:ascii="宋体" w:hAnsi="宋体"/>
          <w:sz w:val="24"/>
        </w:rPr>
      </w:pPr>
      <w:r>
        <w:rPr>
          <w:rFonts w:hint="eastAsia" w:ascii="宋体" w:hAnsi="宋体"/>
          <w:sz w:val="24"/>
        </w:rPr>
        <w:t>（3）磋商报价申请文件中所使用的计量单位，除采购文件中有特殊要求外，一律采用法定计量单位。</w:t>
      </w:r>
      <w:bookmarkStart w:id="42" w:name="_Toc17009841"/>
    </w:p>
    <w:p>
      <w:pPr>
        <w:spacing w:line="500" w:lineRule="exact"/>
        <w:rPr>
          <w:rFonts w:ascii="宋体" w:hAnsi="宋体"/>
          <w:sz w:val="24"/>
        </w:rPr>
      </w:pPr>
      <w:r>
        <w:rPr>
          <w:rFonts w:hint="eastAsia" w:ascii="宋体" w:hAnsi="宋体"/>
          <w:bCs/>
          <w:sz w:val="24"/>
        </w:rPr>
        <w:t>4、磋商报价申请文件的组成</w:t>
      </w:r>
      <w:bookmarkEnd w:id="42"/>
      <w:r>
        <w:rPr>
          <w:rFonts w:hint="eastAsia" w:ascii="宋体" w:hAnsi="宋体"/>
          <w:bCs/>
          <w:sz w:val="24"/>
        </w:rPr>
        <w:t>：详见第四章，</w:t>
      </w:r>
      <w:r>
        <w:rPr>
          <w:rFonts w:hint="eastAsia" w:ascii="宋体" w:hAnsi="宋体"/>
          <w:sz w:val="24"/>
        </w:rPr>
        <w:t>磋商报价申请人应编制目录及连续页码。</w:t>
      </w:r>
      <w:bookmarkStart w:id="43" w:name="_Toc17009842"/>
    </w:p>
    <w:p>
      <w:pPr>
        <w:spacing w:line="500" w:lineRule="exact"/>
        <w:rPr>
          <w:rFonts w:ascii="宋体" w:hAnsi="宋体"/>
          <w:bCs/>
          <w:sz w:val="24"/>
        </w:rPr>
      </w:pPr>
      <w:r>
        <w:rPr>
          <w:rFonts w:ascii="宋体" w:hAnsi="宋体"/>
          <w:bCs/>
          <w:sz w:val="24"/>
        </w:rPr>
        <w:t>5</w:t>
      </w:r>
      <w:r>
        <w:rPr>
          <w:rFonts w:hint="eastAsia" w:ascii="宋体" w:hAnsi="宋体"/>
          <w:bCs/>
          <w:sz w:val="24"/>
        </w:rPr>
        <w:t>、磋商报价申请人资格证明文件</w:t>
      </w:r>
      <w:bookmarkEnd w:id="43"/>
    </w:p>
    <w:p>
      <w:pPr>
        <w:spacing w:line="500" w:lineRule="exact"/>
        <w:ind w:firstLine="480" w:firstLineChars="200"/>
        <w:rPr>
          <w:rFonts w:ascii="宋体" w:hAnsi="宋体"/>
          <w:sz w:val="24"/>
        </w:rPr>
      </w:pPr>
      <w:r>
        <w:rPr>
          <w:rFonts w:hint="eastAsia" w:ascii="宋体" w:hAnsi="宋体"/>
          <w:sz w:val="24"/>
        </w:rPr>
        <w:t>磋商报价申请人应提交证明其有资格参加磋商报价和有能力履行合同的文件，装订并密封于磋商报价申请文件中，作为磋商报价申请文件的一部分。</w:t>
      </w:r>
    </w:p>
    <w:p>
      <w:pPr>
        <w:spacing w:line="500" w:lineRule="exact"/>
        <w:rPr>
          <w:rFonts w:ascii="宋体" w:hAnsi="宋体"/>
          <w:bCs/>
          <w:sz w:val="24"/>
        </w:rPr>
      </w:pPr>
      <w:bookmarkStart w:id="44" w:name="_Toc17009843"/>
      <w:r>
        <w:rPr>
          <w:rFonts w:ascii="宋体" w:hAnsi="宋体"/>
          <w:bCs/>
          <w:sz w:val="24"/>
        </w:rPr>
        <w:t>6</w:t>
      </w:r>
      <w:r>
        <w:rPr>
          <w:rFonts w:hint="eastAsia" w:ascii="宋体" w:hAnsi="宋体"/>
          <w:bCs/>
          <w:sz w:val="24"/>
        </w:rPr>
        <w:t>、磋商报价申请文件</w:t>
      </w:r>
      <w:bookmarkEnd w:id="44"/>
      <w:r>
        <w:rPr>
          <w:rFonts w:hint="eastAsia" w:ascii="宋体" w:hAnsi="宋体"/>
          <w:bCs/>
          <w:sz w:val="24"/>
        </w:rPr>
        <w:t>内容</w:t>
      </w:r>
    </w:p>
    <w:p>
      <w:pPr>
        <w:spacing w:line="500" w:lineRule="exact"/>
        <w:ind w:firstLine="480" w:firstLineChars="200"/>
        <w:rPr>
          <w:rFonts w:ascii="宋体" w:hAnsi="宋体"/>
          <w:sz w:val="24"/>
        </w:rPr>
      </w:pPr>
      <w:r>
        <w:rPr>
          <w:rFonts w:hint="eastAsia" w:ascii="宋体" w:hAnsi="宋体"/>
          <w:sz w:val="24"/>
        </w:rPr>
        <w:t>磋商报价申请人应按磋商报价申请文件格式填写，否则磋商报价申请将被拒绝</w:t>
      </w:r>
      <w:bookmarkStart w:id="45" w:name="_Toc17009844"/>
      <w:r>
        <w:rPr>
          <w:rFonts w:hint="eastAsia" w:ascii="宋体" w:hAnsi="宋体"/>
          <w:sz w:val="24"/>
        </w:rPr>
        <w:t>。</w:t>
      </w:r>
    </w:p>
    <w:bookmarkEnd w:id="45"/>
    <w:p>
      <w:pPr>
        <w:spacing w:line="500" w:lineRule="exact"/>
        <w:rPr>
          <w:rFonts w:ascii="宋体" w:hAnsi="宋体"/>
          <w:bCs/>
          <w:sz w:val="24"/>
        </w:rPr>
      </w:pPr>
      <w:bookmarkStart w:id="46" w:name="_Toc17009845"/>
      <w:r>
        <w:rPr>
          <w:rFonts w:hint="eastAsia" w:ascii="宋体" w:hAnsi="宋体"/>
          <w:bCs/>
          <w:sz w:val="24"/>
        </w:rPr>
        <w:t>7、磋商报价申请</w:t>
      </w:r>
      <w:bookmarkEnd w:id="46"/>
      <w:r>
        <w:rPr>
          <w:rFonts w:hint="eastAsia" w:ascii="宋体" w:hAnsi="宋体"/>
          <w:bCs/>
          <w:sz w:val="24"/>
        </w:rPr>
        <w:t>书</w:t>
      </w:r>
    </w:p>
    <w:p>
      <w:pPr>
        <w:spacing w:line="500" w:lineRule="exact"/>
        <w:ind w:firstLine="360"/>
        <w:rPr>
          <w:rFonts w:ascii="宋体" w:hAnsi="宋体"/>
          <w:sz w:val="24"/>
        </w:rPr>
      </w:pPr>
      <w:r>
        <w:rPr>
          <w:rFonts w:hint="eastAsia" w:ascii="宋体" w:hAnsi="宋体"/>
          <w:sz w:val="24"/>
        </w:rPr>
        <w:t>（1）磋商报价申请书作为磋商报价申请文件的组成部分之一，磋商报价申请人应按采购文件所附磋商报价申请书格式填写，并按采购文件所规定数额、时限、方式提交保证金。</w:t>
      </w:r>
    </w:p>
    <w:p>
      <w:pPr>
        <w:spacing w:line="500" w:lineRule="exact"/>
        <w:ind w:firstLine="360"/>
        <w:rPr>
          <w:rFonts w:ascii="宋体" w:hAnsi="宋体"/>
          <w:sz w:val="24"/>
        </w:rPr>
      </w:pPr>
      <w:r>
        <w:rPr>
          <w:rFonts w:hint="eastAsia" w:ascii="宋体" w:hAnsi="宋体"/>
          <w:sz w:val="24"/>
        </w:rPr>
        <w:t>（2）保证金形式：</w:t>
      </w:r>
      <w:r>
        <w:rPr>
          <w:rFonts w:ascii="宋体" w:hAnsi="宋体"/>
          <w:color w:val="000000"/>
          <w:sz w:val="24"/>
        </w:rPr>
        <w:t>转账</w:t>
      </w:r>
      <w:r>
        <w:rPr>
          <w:rFonts w:hint="eastAsia" w:ascii="宋体" w:hAnsi="宋体"/>
          <w:color w:val="000000"/>
          <w:sz w:val="24"/>
        </w:rPr>
        <w:t>、银行保函、保证保险</w:t>
      </w:r>
      <w:r>
        <w:rPr>
          <w:rFonts w:hint="eastAsia" w:ascii="宋体" w:hAnsi="宋体"/>
          <w:sz w:val="24"/>
        </w:rPr>
        <w:t>。</w:t>
      </w:r>
    </w:p>
    <w:p>
      <w:pPr>
        <w:spacing w:line="500" w:lineRule="exact"/>
        <w:ind w:firstLine="360" w:firstLineChars="150"/>
        <w:rPr>
          <w:rFonts w:ascii="宋体" w:hAnsi="宋体"/>
          <w:color w:val="000000"/>
          <w:sz w:val="24"/>
        </w:rPr>
      </w:pPr>
      <w:r>
        <w:rPr>
          <w:rFonts w:hint="eastAsia" w:ascii="宋体" w:hAnsi="宋体"/>
          <w:color w:val="000000"/>
          <w:sz w:val="24"/>
        </w:rPr>
        <w:t>（3）保证金为人民币：</w:t>
      </w:r>
      <w:r>
        <w:rPr>
          <w:rFonts w:hint="eastAsia" w:ascii="宋体" w:hAnsi="宋体"/>
          <w:sz w:val="24"/>
        </w:rPr>
        <w:t>见报价须知前附表。</w:t>
      </w:r>
    </w:p>
    <w:p>
      <w:pPr>
        <w:spacing w:line="500" w:lineRule="exact"/>
        <w:ind w:firstLine="360"/>
        <w:rPr>
          <w:rFonts w:ascii="宋体" w:hAnsi="宋体"/>
          <w:sz w:val="24"/>
        </w:rPr>
      </w:pPr>
      <w:r>
        <w:rPr>
          <w:rFonts w:hint="eastAsia" w:ascii="宋体" w:hAnsi="宋体"/>
          <w:sz w:val="24"/>
        </w:rPr>
        <w:t>（4）未按规定提交保证金的磋商报价申请将被拒绝。</w:t>
      </w:r>
    </w:p>
    <w:p>
      <w:pPr>
        <w:spacing w:line="500" w:lineRule="exact"/>
        <w:ind w:firstLine="360"/>
        <w:rPr>
          <w:rFonts w:ascii="宋体" w:hAnsi="宋体"/>
          <w:sz w:val="24"/>
        </w:rPr>
      </w:pPr>
      <w:r>
        <w:rPr>
          <w:rFonts w:hint="eastAsia" w:ascii="宋体" w:hAnsi="宋体"/>
          <w:sz w:val="24"/>
        </w:rPr>
        <w:t>（5）保证金将在发出《成交通知书》后依照法律及相关法规规定返还。</w:t>
      </w:r>
      <w:bookmarkStart w:id="47" w:name="_Toc17009846"/>
    </w:p>
    <w:bookmarkEnd w:id="47"/>
    <w:p>
      <w:pPr>
        <w:spacing w:line="500" w:lineRule="exact"/>
        <w:rPr>
          <w:rFonts w:ascii="宋体" w:hAnsi="宋体"/>
          <w:bCs/>
          <w:sz w:val="24"/>
        </w:rPr>
      </w:pPr>
      <w:bookmarkStart w:id="48" w:name="_Toc17009848"/>
      <w:r>
        <w:rPr>
          <w:rFonts w:hint="eastAsia" w:ascii="宋体" w:hAnsi="宋体"/>
          <w:bCs/>
          <w:sz w:val="24"/>
        </w:rPr>
        <w:t>8、投标有效期</w:t>
      </w:r>
      <w:bookmarkEnd w:id="48"/>
      <w:r>
        <w:rPr>
          <w:rFonts w:hint="eastAsia" w:ascii="宋体" w:hAnsi="宋体"/>
          <w:sz w:val="24"/>
        </w:rPr>
        <w:t>60日历天，供应商填报</w:t>
      </w:r>
      <w:r>
        <w:rPr>
          <w:rFonts w:hint="eastAsia" w:ascii="宋体" w:hAnsi="宋体"/>
          <w:bCs/>
          <w:sz w:val="24"/>
        </w:rPr>
        <w:t>投标有效期少于磋商文件规定的将作废标处理。</w:t>
      </w:r>
    </w:p>
    <w:p>
      <w:pPr>
        <w:spacing w:line="500" w:lineRule="exact"/>
        <w:rPr>
          <w:rFonts w:ascii="宋体" w:hAnsi="宋体"/>
          <w:bCs/>
          <w:sz w:val="24"/>
        </w:rPr>
      </w:pPr>
      <w:bookmarkStart w:id="49" w:name="_Toc17009849"/>
      <w:r>
        <w:rPr>
          <w:rFonts w:hint="eastAsia" w:ascii="宋体" w:hAnsi="宋体"/>
          <w:bCs/>
          <w:sz w:val="24"/>
        </w:rPr>
        <w:t>9、磋商报价申请文件的盖章、签署规定</w:t>
      </w:r>
      <w:bookmarkEnd w:id="49"/>
    </w:p>
    <w:p>
      <w:pPr>
        <w:spacing w:line="500" w:lineRule="exact"/>
        <w:ind w:firstLine="360"/>
        <w:rPr>
          <w:rFonts w:ascii="宋体" w:hAnsi="宋体"/>
          <w:color w:val="000000"/>
          <w:sz w:val="24"/>
        </w:rPr>
      </w:pPr>
      <w:r>
        <w:rPr>
          <w:rFonts w:hint="eastAsia" w:ascii="宋体" w:hAnsi="宋体"/>
          <w:sz w:val="24"/>
        </w:rPr>
        <w:t>（1）磋商报价申请书的所有组成资料均应遵守盖章、签署规定。</w:t>
      </w:r>
    </w:p>
    <w:p>
      <w:pPr>
        <w:spacing w:line="500" w:lineRule="exact"/>
        <w:ind w:firstLine="360"/>
        <w:rPr>
          <w:rFonts w:ascii="宋体" w:hAnsi="宋体"/>
          <w:b/>
          <w:sz w:val="24"/>
        </w:rPr>
      </w:pPr>
      <w:r>
        <w:rPr>
          <w:rFonts w:hint="eastAsia" w:ascii="宋体" w:hAnsi="宋体"/>
          <w:sz w:val="24"/>
        </w:rPr>
        <w:t>（2）除磋商报价申请人对错处作必要修改外，磋商报价申请文件不得加行、涂改，修改处必须由法定代表人签字或盖章认可。</w:t>
      </w:r>
      <w:bookmarkStart w:id="50" w:name="_Toc17009850"/>
    </w:p>
    <w:p>
      <w:pPr>
        <w:spacing w:line="500" w:lineRule="exact"/>
        <w:jc w:val="center"/>
        <w:rPr>
          <w:rFonts w:ascii="宋体" w:hAnsi="宋体"/>
          <w:b/>
          <w:bCs/>
          <w:sz w:val="24"/>
        </w:rPr>
      </w:pPr>
      <w:r>
        <w:rPr>
          <w:rFonts w:hint="eastAsia" w:ascii="宋体" w:hAnsi="宋体"/>
          <w:b/>
          <w:bCs/>
          <w:sz w:val="24"/>
        </w:rPr>
        <w:t>二、磋商报价申请文件的递交</w:t>
      </w:r>
      <w:bookmarkEnd w:id="50"/>
    </w:p>
    <w:p>
      <w:pPr>
        <w:spacing w:line="500" w:lineRule="exact"/>
        <w:rPr>
          <w:rFonts w:ascii="宋体" w:hAnsi="宋体"/>
          <w:bCs/>
          <w:sz w:val="24"/>
        </w:rPr>
      </w:pPr>
      <w:bookmarkStart w:id="51" w:name="_Toc17009851"/>
      <w:r>
        <w:rPr>
          <w:rFonts w:hint="eastAsia" w:ascii="宋体" w:hAnsi="宋体"/>
          <w:bCs/>
          <w:sz w:val="24"/>
        </w:rPr>
        <w:t>10、磋商报价申请文件的密封标记</w:t>
      </w:r>
      <w:bookmarkEnd w:id="51"/>
    </w:p>
    <w:p>
      <w:pPr>
        <w:spacing w:line="500" w:lineRule="exact"/>
        <w:ind w:firstLine="360"/>
        <w:rPr>
          <w:rFonts w:ascii="宋体" w:hAnsi="宋体"/>
          <w:sz w:val="24"/>
        </w:rPr>
      </w:pPr>
      <w:r>
        <w:rPr>
          <w:rFonts w:hint="eastAsia" w:ascii="宋体" w:hAnsi="宋体"/>
          <w:sz w:val="24"/>
        </w:rPr>
        <w:t>（1）纸质文件应一同密封提交。</w:t>
      </w:r>
    </w:p>
    <w:p>
      <w:pPr>
        <w:spacing w:line="500" w:lineRule="exact"/>
        <w:ind w:firstLine="360"/>
        <w:rPr>
          <w:rFonts w:ascii="宋体" w:hAnsi="宋体"/>
          <w:sz w:val="24"/>
        </w:rPr>
      </w:pPr>
      <w:r>
        <w:rPr>
          <w:rFonts w:hint="eastAsia" w:ascii="宋体" w:hAnsi="宋体"/>
          <w:sz w:val="24"/>
        </w:rPr>
        <w:t>（2）密封口处应加盖磋商报价申请人密封章。</w:t>
      </w:r>
    </w:p>
    <w:p>
      <w:pPr>
        <w:spacing w:line="500" w:lineRule="exact"/>
        <w:ind w:firstLine="360"/>
        <w:rPr>
          <w:rFonts w:ascii="宋体" w:hAnsi="宋体"/>
          <w:sz w:val="24"/>
        </w:rPr>
      </w:pPr>
      <w:r>
        <w:rPr>
          <w:rFonts w:hint="eastAsia" w:ascii="宋体" w:hAnsi="宋体"/>
          <w:sz w:val="24"/>
        </w:rPr>
        <w:t>（3）磋商报价申请书应按指定的时间和地点由法定代表人或其授权的委托代理人送交。</w:t>
      </w:r>
    </w:p>
    <w:p>
      <w:pPr>
        <w:spacing w:line="500" w:lineRule="exact"/>
        <w:rPr>
          <w:rFonts w:ascii="宋体" w:hAnsi="宋体"/>
          <w:bCs/>
          <w:sz w:val="24"/>
        </w:rPr>
      </w:pPr>
      <w:bookmarkStart w:id="52" w:name="_Toc17009852"/>
      <w:r>
        <w:rPr>
          <w:rFonts w:hint="eastAsia" w:ascii="宋体" w:hAnsi="宋体"/>
          <w:bCs/>
          <w:sz w:val="24"/>
        </w:rPr>
        <w:t>11、截止日期</w:t>
      </w:r>
      <w:bookmarkEnd w:id="52"/>
    </w:p>
    <w:p>
      <w:pPr>
        <w:spacing w:line="500" w:lineRule="exact"/>
        <w:ind w:firstLine="360"/>
        <w:rPr>
          <w:rFonts w:ascii="宋体" w:hAnsi="宋体"/>
          <w:sz w:val="24"/>
        </w:rPr>
      </w:pPr>
      <w:r>
        <w:rPr>
          <w:rFonts w:hint="eastAsia" w:ascii="宋体" w:hAnsi="宋体"/>
          <w:sz w:val="24"/>
        </w:rPr>
        <w:t>（1）磋商报价申请书必须按采购文件规定的截止时间前送达磋商报价地点，超过截止时间的磋商报价申请文件将被拒绝。</w:t>
      </w:r>
    </w:p>
    <w:p>
      <w:pPr>
        <w:spacing w:line="500" w:lineRule="exact"/>
        <w:ind w:firstLine="360"/>
        <w:rPr>
          <w:rFonts w:ascii="宋体" w:hAnsi="宋体"/>
          <w:sz w:val="24"/>
        </w:rPr>
      </w:pPr>
      <w:r>
        <w:rPr>
          <w:rFonts w:hint="eastAsia" w:ascii="宋体" w:hAnsi="宋体"/>
          <w:sz w:val="24"/>
        </w:rPr>
        <w:t>（2）磋商报价申请人的保证金应在采购文件规定时间前按规定方式提交。</w:t>
      </w:r>
    </w:p>
    <w:p>
      <w:pPr>
        <w:spacing w:line="500" w:lineRule="exact"/>
        <w:rPr>
          <w:rFonts w:ascii="宋体" w:hAnsi="宋体"/>
          <w:bCs/>
          <w:sz w:val="24"/>
        </w:rPr>
      </w:pPr>
      <w:bookmarkStart w:id="53" w:name="_Toc17009853"/>
      <w:r>
        <w:rPr>
          <w:rFonts w:hint="eastAsia" w:ascii="宋体" w:hAnsi="宋体"/>
          <w:bCs/>
          <w:sz w:val="24"/>
        </w:rPr>
        <w:t>12、磋商报价申请文件的修改和撤回</w:t>
      </w:r>
      <w:bookmarkEnd w:id="53"/>
    </w:p>
    <w:p>
      <w:pPr>
        <w:spacing w:line="500" w:lineRule="exact"/>
        <w:ind w:firstLine="360"/>
        <w:rPr>
          <w:rFonts w:ascii="宋体" w:hAnsi="宋体"/>
          <w:sz w:val="24"/>
        </w:rPr>
      </w:pPr>
      <w:r>
        <w:rPr>
          <w:rFonts w:hint="eastAsia" w:ascii="宋体" w:hAnsi="宋体"/>
          <w:sz w:val="24"/>
        </w:rPr>
        <w:t>（1）磋商报价申请文件递交截止时间前，磋商报价申请人可以提供补充文件，并可对已提交的磋商报价申请文件进行修改、补充或更正，也可以书面申请撤回磋商报价申请文件。</w:t>
      </w:r>
    </w:p>
    <w:p>
      <w:pPr>
        <w:spacing w:line="500" w:lineRule="exact"/>
        <w:ind w:firstLine="360"/>
        <w:rPr>
          <w:rFonts w:ascii="宋体" w:hAnsi="宋体"/>
          <w:sz w:val="24"/>
        </w:rPr>
      </w:pPr>
      <w:r>
        <w:rPr>
          <w:rFonts w:hint="eastAsia" w:ascii="宋体" w:hAnsi="宋体"/>
          <w:sz w:val="24"/>
        </w:rPr>
        <w:t>（2）磋商报价申请人的补充文件必须按规定进行密封。</w:t>
      </w:r>
    </w:p>
    <w:p>
      <w:pPr>
        <w:spacing w:line="500" w:lineRule="exact"/>
        <w:ind w:firstLine="360"/>
        <w:rPr>
          <w:rFonts w:ascii="宋体" w:hAnsi="宋体"/>
          <w:sz w:val="24"/>
        </w:rPr>
      </w:pPr>
      <w:r>
        <w:rPr>
          <w:rFonts w:hint="eastAsia" w:ascii="宋体" w:hAnsi="宋体"/>
          <w:sz w:val="24"/>
        </w:rPr>
        <w:t>（3）有效期内，磋商报价申请人不得撤回其磋商报价申请文件，否则其磋商报价保证金将不予退还。</w:t>
      </w:r>
    </w:p>
    <w:p>
      <w:pPr>
        <w:spacing w:line="500" w:lineRule="exact"/>
        <w:rPr>
          <w:rFonts w:ascii="宋体" w:hAnsi="宋体"/>
          <w:b/>
          <w:sz w:val="24"/>
        </w:rPr>
      </w:pPr>
      <w:bookmarkStart w:id="54" w:name="_Toc17009854"/>
      <w:r>
        <w:rPr>
          <w:rFonts w:hint="eastAsia" w:ascii="宋体" w:hAnsi="宋体"/>
          <w:bCs/>
          <w:sz w:val="24"/>
        </w:rPr>
        <w:t>13、磋商报价申请文件送达时，应交验已缴纳保证金的</w:t>
      </w:r>
      <w:r>
        <w:rPr>
          <w:rFonts w:hint="eastAsia" w:ascii="宋体" w:hAnsi="宋体"/>
          <w:bCs/>
          <w:color w:val="000000"/>
          <w:sz w:val="24"/>
        </w:rPr>
        <w:t>有效凭据（</w:t>
      </w:r>
      <w:r>
        <w:rPr>
          <w:rFonts w:hint="eastAsia" w:ascii="宋体" w:hAnsi="宋体"/>
          <w:bCs/>
          <w:sz w:val="24"/>
        </w:rPr>
        <w:t>磋商报价保证金缴纳证明</w:t>
      </w:r>
      <w:r>
        <w:rPr>
          <w:rFonts w:hint="eastAsia" w:ascii="宋体" w:hAnsi="宋体"/>
          <w:bCs/>
          <w:color w:val="000000"/>
          <w:sz w:val="24"/>
        </w:rPr>
        <w:t>）</w:t>
      </w:r>
      <w:r>
        <w:rPr>
          <w:rFonts w:hint="eastAsia" w:ascii="宋体" w:hAnsi="宋体"/>
          <w:bCs/>
          <w:sz w:val="24"/>
        </w:rPr>
        <w:t>。</w:t>
      </w:r>
      <w:bookmarkEnd w:id="54"/>
      <w:bookmarkStart w:id="55" w:name="_Toc17009855"/>
    </w:p>
    <w:p>
      <w:pPr>
        <w:spacing w:line="500" w:lineRule="exact"/>
        <w:jc w:val="center"/>
        <w:rPr>
          <w:rFonts w:ascii="宋体" w:hAnsi="宋体"/>
          <w:b/>
          <w:bCs/>
          <w:sz w:val="24"/>
        </w:rPr>
      </w:pPr>
      <w:r>
        <w:rPr>
          <w:rFonts w:hint="eastAsia" w:ascii="宋体" w:hAnsi="宋体"/>
          <w:b/>
          <w:bCs/>
          <w:sz w:val="24"/>
        </w:rPr>
        <w:t>三、</w:t>
      </w:r>
      <w:bookmarkEnd w:id="55"/>
      <w:r>
        <w:rPr>
          <w:rFonts w:hint="eastAsia" w:ascii="宋体" w:hAnsi="宋体"/>
          <w:b/>
          <w:bCs/>
          <w:sz w:val="24"/>
        </w:rPr>
        <w:t>磋商报价及相关事项</w:t>
      </w:r>
    </w:p>
    <w:p>
      <w:pPr>
        <w:spacing w:line="500" w:lineRule="exact"/>
        <w:rPr>
          <w:rFonts w:ascii="宋体" w:hAnsi="宋体"/>
          <w:bCs/>
          <w:sz w:val="24"/>
        </w:rPr>
      </w:pPr>
      <w:bookmarkStart w:id="56" w:name="_Toc17009856"/>
      <w:r>
        <w:rPr>
          <w:rFonts w:hint="eastAsia" w:ascii="宋体" w:hAnsi="宋体"/>
          <w:bCs/>
          <w:sz w:val="24"/>
        </w:rPr>
        <w:t>14、</w:t>
      </w:r>
      <w:bookmarkEnd w:id="56"/>
      <w:r>
        <w:rPr>
          <w:rFonts w:hint="eastAsia" w:ascii="宋体" w:hAnsi="宋体"/>
          <w:bCs/>
          <w:sz w:val="24"/>
        </w:rPr>
        <w:t>磋商报价申请文件的开启</w:t>
      </w:r>
    </w:p>
    <w:p>
      <w:pPr>
        <w:spacing w:line="500" w:lineRule="exact"/>
        <w:ind w:firstLine="360"/>
        <w:rPr>
          <w:rFonts w:ascii="宋体" w:hAnsi="宋体"/>
          <w:sz w:val="24"/>
        </w:rPr>
      </w:pPr>
      <w:r>
        <w:rPr>
          <w:rFonts w:hint="eastAsia" w:ascii="宋体" w:hAnsi="宋体"/>
          <w:sz w:val="24"/>
        </w:rPr>
        <w:t xml:space="preserve">（1）将按采购文件中规定的时间和地点组织磋商，磋商由    </w:t>
      </w:r>
      <w:r>
        <w:rPr>
          <w:rFonts w:hint="eastAsia" w:ascii="宋体" w:hAnsi="宋体"/>
          <w:color w:val="000000"/>
          <w:sz w:val="24"/>
        </w:rPr>
        <w:t>工作人员</w:t>
      </w:r>
      <w:r>
        <w:rPr>
          <w:rFonts w:hint="eastAsia" w:ascii="宋体" w:hAnsi="宋体"/>
          <w:sz w:val="24"/>
        </w:rPr>
        <w:t>主持，采购人代表、磋商报价申请人代表（法定代表人或委托代理人）及有关工作人员参加。</w:t>
      </w:r>
    </w:p>
    <w:p>
      <w:pPr>
        <w:spacing w:line="500" w:lineRule="exact"/>
        <w:ind w:firstLine="360"/>
        <w:rPr>
          <w:rFonts w:ascii="宋体" w:hAnsi="宋体"/>
          <w:b/>
          <w:bCs/>
          <w:color w:val="000000"/>
          <w:sz w:val="24"/>
        </w:rPr>
      </w:pPr>
      <w:r>
        <w:rPr>
          <w:rFonts w:hint="eastAsia" w:ascii="宋体" w:hAnsi="宋体"/>
          <w:sz w:val="24"/>
        </w:rPr>
        <w:t>（2）磋商时，磋商报价申请人代表应检查磋商报价申请文件密封</w:t>
      </w:r>
      <w:r>
        <w:rPr>
          <w:rFonts w:hint="eastAsia" w:ascii="宋体" w:hAnsi="宋体"/>
          <w:b/>
          <w:bCs/>
          <w:color w:val="000000"/>
          <w:sz w:val="24"/>
        </w:rPr>
        <w:t>。</w:t>
      </w:r>
    </w:p>
    <w:p>
      <w:pPr>
        <w:spacing w:line="500" w:lineRule="exact"/>
        <w:rPr>
          <w:rFonts w:ascii="宋体" w:hAnsi="宋体"/>
          <w:bCs/>
          <w:sz w:val="24"/>
        </w:rPr>
      </w:pPr>
      <w:bookmarkStart w:id="57" w:name="_Toc17009858"/>
      <w:r>
        <w:rPr>
          <w:rFonts w:hint="eastAsia" w:ascii="宋体" w:hAnsi="宋体"/>
          <w:bCs/>
          <w:sz w:val="24"/>
        </w:rPr>
        <w:t>15、</w:t>
      </w:r>
      <w:bookmarkEnd w:id="57"/>
      <w:r>
        <w:rPr>
          <w:rFonts w:hint="eastAsia" w:ascii="宋体" w:hAnsi="宋体"/>
          <w:bCs/>
          <w:sz w:val="24"/>
        </w:rPr>
        <w:t>磋商报价及磋商</w:t>
      </w:r>
    </w:p>
    <w:p>
      <w:pPr>
        <w:spacing w:line="500" w:lineRule="exact"/>
        <w:ind w:firstLine="360"/>
        <w:rPr>
          <w:rFonts w:ascii="宋体" w:hAnsi="宋体"/>
          <w:sz w:val="24"/>
        </w:rPr>
      </w:pPr>
      <w:r>
        <w:rPr>
          <w:rFonts w:hint="eastAsia" w:ascii="宋体" w:hAnsi="宋体"/>
          <w:sz w:val="24"/>
        </w:rPr>
        <w:t>（1）项目采购人将根据本次采购项目的性质和特点按竞争性磋商相关管理规定组建竞争性磋商小组；竞争性磋商小组人员应为三人及以上的单数组成，其中经济、技术方面的专家不少于竞争性磋商小组总人数的2/3。</w:t>
      </w:r>
    </w:p>
    <w:p>
      <w:pPr>
        <w:spacing w:line="500" w:lineRule="exact"/>
        <w:ind w:firstLine="360"/>
        <w:rPr>
          <w:rFonts w:ascii="宋体" w:hAnsi="宋体"/>
          <w:sz w:val="24"/>
        </w:rPr>
      </w:pPr>
      <w:r>
        <w:rPr>
          <w:rFonts w:hint="eastAsia" w:ascii="宋体" w:hAnsi="宋体"/>
          <w:sz w:val="24"/>
        </w:rPr>
        <w:t>（2）竞争性磋商内容为各磋商报价申请人的报价、服务承诺、资金支付要求等。竞争性磋商小组所有成员集中与磋商报价申请人分别进行磋商,并要求报价人进行二次限时报价（二次报价为最终报价）。</w:t>
      </w:r>
    </w:p>
    <w:p>
      <w:pPr>
        <w:spacing w:line="500" w:lineRule="exact"/>
        <w:ind w:firstLine="360"/>
        <w:rPr>
          <w:rFonts w:ascii="宋体" w:hAnsi="宋体" w:cs="Arial Unicode MS"/>
          <w:color w:val="000000"/>
          <w:sz w:val="24"/>
        </w:rPr>
      </w:pPr>
      <w:r>
        <w:rPr>
          <w:rFonts w:hint="eastAsia" w:ascii="宋体" w:hAnsi="宋体"/>
          <w:sz w:val="24"/>
        </w:rPr>
        <w:t>（3）竞争性磋商</w:t>
      </w:r>
      <w:r>
        <w:rPr>
          <w:rFonts w:hint="eastAsia" w:ascii="宋体" w:hAnsi="宋体"/>
          <w:color w:val="000000"/>
          <w:sz w:val="24"/>
        </w:rPr>
        <w:t>小组</w:t>
      </w:r>
      <w:r>
        <w:rPr>
          <w:rFonts w:hint="eastAsia" w:ascii="宋体" w:hAnsi="宋体" w:cs="Arial Unicode MS"/>
          <w:color w:val="000000"/>
          <w:sz w:val="24"/>
        </w:rPr>
        <w:t>按照评分标准进行打分，并按得分由高到低顺序推荐3名成交候选人。</w:t>
      </w:r>
    </w:p>
    <w:p>
      <w:pPr>
        <w:spacing w:line="500" w:lineRule="exact"/>
        <w:rPr>
          <w:rFonts w:ascii="宋体" w:hAnsi="宋体"/>
          <w:bCs/>
          <w:sz w:val="24"/>
        </w:rPr>
      </w:pPr>
      <w:bookmarkStart w:id="58" w:name="_Toc17009859"/>
      <w:r>
        <w:rPr>
          <w:rFonts w:hint="eastAsia" w:ascii="宋体" w:hAnsi="宋体"/>
          <w:bCs/>
          <w:sz w:val="24"/>
        </w:rPr>
        <w:t>16、</w:t>
      </w:r>
      <w:bookmarkEnd w:id="58"/>
      <w:r>
        <w:rPr>
          <w:rFonts w:hint="eastAsia" w:ascii="宋体" w:hAnsi="宋体"/>
          <w:bCs/>
          <w:sz w:val="24"/>
        </w:rPr>
        <w:t>成交</w:t>
      </w:r>
    </w:p>
    <w:p>
      <w:pPr>
        <w:spacing w:line="500" w:lineRule="exact"/>
        <w:ind w:firstLine="360" w:firstLineChars="150"/>
        <w:rPr>
          <w:rFonts w:ascii="宋体" w:hAnsi="宋体"/>
          <w:sz w:val="24"/>
        </w:rPr>
      </w:pPr>
      <w:r>
        <w:rPr>
          <w:rFonts w:hint="eastAsia" w:ascii="宋体" w:hAnsi="宋体"/>
          <w:sz w:val="24"/>
        </w:rPr>
        <w:t>（1）竞争性磋商小组根据磋商报价及磋商结果，在符合采购文件所有实质性要求的前提下，推荐提出成交候选人。</w:t>
      </w:r>
    </w:p>
    <w:p>
      <w:pPr>
        <w:spacing w:line="500" w:lineRule="exact"/>
        <w:ind w:firstLine="360" w:firstLineChars="150"/>
        <w:rPr>
          <w:rFonts w:ascii="宋体" w:hAnsi="宋体"/>
          <w:sz w:val="24"/>
        </w:rPr>
      </w:pPr>
      <w:r>
        <w:rPr>
          <w:rFonts w:hint="eastAsia" w:ascii="宋体" w:hAnsi="宋体"/>
          <w:sz w:val="24"/>
        </w:rPr>
        <w:t>（2）项目采购人应根据竞争性磋商小组推荐的成交候选人名单，确定第一成交候选人为成交人。法律法规规定的特殊情况除外。</w:t>
      </w:r>
    </w:p>
    <w:p>
      <w:pPr>
        <w:spacing w:line="500" w:lineRule="exact"/>
        <w:ind w:firstLine="360" w:firstLineChars="150"/>
        <w:rPr>
          <w:rFonts w:ascii="宋体" w:hAnsi="宋体"/>
          <w:b/>
          <w:bCs/>
          <w:sz w:val="24"/>
        </w:rPr>
      </w:pPr>
      <w:r>
        <w:rPr>
          <w:rFonts w:hint="eastAsia" w:ascii="宋体" w:hAnsi="宋体"/>
          <w:sz w:val="24"/>
        </w:rPr>
        <w:t>（3）所有磋商报价申请均不符合要求时，项目采购人可对其否决并不作任何解释。</w:t>
      </w:r>
    </w:p>
    <w:p>
      <w:pPr>
        <w:spacing w:line="500" w:lineRule="exact"/>
        <w:jc w:val="center"/>
        <w:rPr>
          <w:rFonts w:ascii="宋体" w:hAnsi="宋体"/>
          <w:b/>
          <w:bCs/>
          <w:sz w:val="24"/>
        </w:rPr>
      </w:pPr>
      <w:bookmarkStart w:id="59" w:name="_Toc17009860"/>
      <w:r>
        <w:rPr>
          <w:rFonts w:hint="eastAsia" w:ascii="宋体" w:hAnsi="宋体"/>
          <w:b/>
          <w:bCs/>
          <w:sz w:val="24"/>
        </w:rPr>
        <w:t>四、成交通知和合同授予</w:t>
      </w:r>
      <w:bookmarkEnd w:id="59"/>
    </w:p>
    <w:p>
      <w:pPr>
        <w:rPr>
          <w:rFonts w:ascii="宋体" w:hAnsi="宋体"/>
          <w:bCs/>
          <w:sz w:val="24"/>
        </w:rPr>
      </w:pPr>
      <w:bookmarkStart w:id="60" w:name="_Toc17009861"/>
      <w:r>
        <w:rPr>
          <w:rFonts w:hint="eastAsia" w:ascii="宋体" w:hAnsi="宋体"/>
          <w:bCs/>
          <w:sz w:val="24"/>
        </w:rPr>
        <w:t>17、成交通知</w:t>
      </w:r>
      <w:bookmarkEnd w:id="60"/>
    </w:p>
    <w:p>
      <w:pPr>
        <w:spacing w:line="500" w:lineRule="exact"/>
        <w:ind w:firstLine="300" w:firstLineChars="125"/>
        <w:rPr>
          <w:rFonts w:ascii="宋体" w:hAnsi="宋体"/>
          <w:color w:val="000000"/>
          <w:sz w:val="24"/>
        </w:rPr>
      </w:pPr>
      <w:r>
        <w:rPr>
          <w:rFonts w:hint="eastAsia" w:ascii="宋体" w:hAnsi="宋体"/>
          <w:color w:val="000000"/>
          <w:sz w:val="24"/>
        </w:rPr>
        <w:t>（1）根据磋商报价结果及采购人意见签发《成交通知书》。</w:t>
      </w:r>
    </w:p>
    <w:p>
      <w:pPr>
        <w:spacing w:line="500" w:lineRule="exact"/>
        <w:ind w:firstLine="300" w:firstLineChars="125"/>
        <w:rPr>
          <w:rFonts w:ascii="宋体" w:hAnsi="宋体"/>
          <w:color w:val="000000"/>
          <w:sz w:val="24"/>
        </w:rPr>
      </w:pPr>
      <w:r>
        <w:rPr>
          <w:rFonts w:hint="eastAsia" w:ascii="宋体" w:hAnsi="宋体"/>
          <w:color w:val="000000"/>
          <w:sz w:val="24"/>
        </w:rPr>
        <w:t>（2）对没有成交的磋商报价申请人，</w:t>
      </w:r>
      <w:bookmarkStart w:id="61" w:name="_Toc17009862"/>
      <w:r>
        <w:rPr>
          <w:rFonts w:hint="eastAsia" w:ascii="宋体" w:hAnsi="宋体"/>
          <w:color w:val="000000"/>
          <w:sz w:val="24"/>
        </w:rPr>
        <w:t>留意    官网中标公告。</w:t>
      </w:r>
    </w:p>
    <w:p>
      <w:pPr>
        <w:spacing w:line="500" w:lineRule="exact"/>
        <w:rPr>
          <w:rFonts w:ascii="宋体" w:hAnsi="宋体"/>
          <w:bCs/>
          <w:sz w:val="24"/>
        </w:rPr>
      </w:pPr>
      <w:r>
        <w:rPr>
          <w:rFonts w:hint="eastAsia" w:ascii="宋体" w:hAnsi="宋体"/>
          <w:bCs/>
          <w:sz w:val="24"/>
        </w:rPr>
        <w:t>18、签订合同</w:t>
      </w:r>
      <w:bookmarkEnd w:id="61"/>
    </w:p>
    <w:p>
      <w:pPr>
        <w:spacing w:line="500" w:lineRule="exact"/>
        <w:ind w:firstLine="300" w:firstLineChars="125"/>
        <w:rPr>
          <w:rFonts w:ascii="宋体" w:hAnsi="宋体"/>
          <w:sz w:val="24"/>
        </w:rPr>
      </w:pPr>
      <w:r>
        <w:rPr>
          <w:rFonts w:hint="eastAsia" w:ascii="宋体" w:hAnsi="宋体"/>
          <w:sz w:val="24"/>
        </w:rPr>
        <w:t>（1）成交单位按《成交通知书》指定的时间、地点与项目采购人签订合同。</w:t>
      </w:r>
    </w:p>
    <w:p>
      <w:pPr>
        <w:spacing w:line="500" w:lineRule="exact"/>
        <w:ind w:firstLine="300" w:firstLineChars="125"/>
        <w:rPr>
          <w:rFonts w:ascii="宋体" w:hAnsi="宋体"/>
          <w:sz w:val="24"/>
        </w:rPr>
      </w:pPr>
      <w:r>
        <w:rPr>
          <w:rFonts w:hint="eastAsia" w:ascii="宋体" w:hAnsi="宋体"/>
          <w:sz w:val="24"/>
        </w:rPr>
        <w:t>（2）采购文件、成交单位的磋商报价申请文件及其澄清文件、成交通知书，均作为签订合同内容的依据。</w:t>
      </w:r>
    </w:p>
    <w:p>
      <w:pPr>
        <w:spacing w:line="500" w:lineRule="exact"/>
        <w:ind w:firstLine="300" w:firstLineChars="125"/>
        <w:rPr>
          <w:rFonts w:ascii="宋体" w:hAnsi="宋体"/>
          <w:sz w:val="24"/>
        </w:rPr>
      </w:pPr>
      <w:r>
        <w:rPr>
          <w:rFonts w:hint="eastAsia" w:ascii="宋体" w:hAnsi="宋体"/>
          <w:sz w:val="24"/>
        </w:rPr>
        <w:t>（3）成交单位按合同规定的数额向项目采购人交纳履约保证金（如有），项目采购人在确认该合同履行完毕后5个工作日内无息退还。</w:t>
      </w:r>
    </w:p>
    <w:bookmarkEnd w:id="36"/>
    <w:bookmarkEnd w:id="37"/>
    <w:bookmarkEnd w:id="38"/>
    <w:p>
      <w:pPr>
        <w:pStyle w:val="4"/>
        <w:rPr>
          <w:rFonts w:ascii="宋体" w:hAnsi="宋体" w:eastAsia="宋体"/>
          <w:bCs/>
        </w:rPr>
      </w:pPr>
      <w:bookmarkStart w:id="62" w:name="_Toc17009863"/>
      <w:bookmarkStart w:id="63" w:name="_Toc48525822"/>
      <w:r>
        <w:rPr>
          <w:rFonts w:ascii="宋体" w:hAnsi="宋体" w:eastAsia="宋体"/>
        </w:rPr>
        <w:br w:type="page"/>
      </w:r>
      <w:r>
        <w:rPr>
          <w:rFonts w:ascii="宋体" w:hAnsi="宋体" w:eastAsia="宋体"/>
        </w:rPr>
        <w:t>第</w:t>
      </w:r>
      <w:r>
        <w:rPr>
          <w:rFonts w:hint="eastAsia" w:ascii="宋体" w:hAnsi="宋体" w:eastAsia="宋体"/>
        </w:rPr>
        <w:t>三</w:t>
      </w:r>
      <w:r>
        <w:rPr>
          <w:rFonts w:ascii="宋体" w:hAnsi="宋体" w:eastAsia="宋体"/>
        </w:rPr>
        <w:t>章</w:t>
      </w:r>
      <w:r>
        <w:rPr>
          <w:rFonts w:hint="eastAsia" w:ascii="宋体" w:hAnsi="宋体" w:eastAsia="宋体"/>
        </w:rPr>
        <w:t xml:space="preserve">  </w:t>
      </w:r>
      <w:bookmarkEnd w:id="62"/>
      <w:bookmarkEnd w:id="63"/>
      <w:bookmarkStart w:id="64" w:name="_Toc17009864"/>
      <w:bookmarkStart w:id="65" w:name="_Toc48525824"/>
      <w:r>
        <w:rPr>
          <w:rFonts w:hint="eastAsia" w:ascii="宋体" w:hAnsi="宋体" w:eastAsia="宋体"/>
        </w:rPr>
        <w:t>合同书样式及主要条款</w:t>
      </w:r>
    </w:p>
    <w:p>
      <w:pPr>
        <w:jc w:val="center"/>
        <w:rPr>
          <w:rFonts w:ascii="宋体" w:hAnsi="宋体"/>
          <w:color w:val="000000"/>
          <w:sz w:val="24"/>
          <w:u w:val="single"/>
        </w:rPr>
      </w:pPr>
      <w:r>
        <w:rPr>
          <w:rFonts w:hint="eastAsia" w:ascii="宋体" w:hAnsi="宋体"/>
          <w:b/>
          <w:bCs/>
          <w:color w:val="000000"/>
          <w:kern w:val="0"/>
          <w:sz w:val="24"/>
          <w:u w:val="single"/>
        </w:rPr>
        <w:t>（本合同具体内容由甲、乙双方商定内容为准）</w:t>
      </w:r>
    </w:p>
    <w:p>
      <w:pPr>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p>
    <w:bookmarkEnd w:id="64"/>
    <w:p>
      <w:pPr>
        <w:spacing w:line="360" w:lineRule="auto"/>
        <w:jc w:val="center"/>
        <w:rPr>
          <w:rFonts w:ascii="宋体" w:hAnsi="宋体"/>
          <w:b/>
          <w:color w:val="000000"/>
          <w:sz w:val="36"/>
          <w:szCs w:val="36"/>
        </w:rPr>
      </w:pPr>
      <w:r>
        <w:rPr>
          <w:rFonts w:hint="eastAsia"/>
          <w:b/>
          <w:bCs/>
          <w:sz w:val="44"/>
          <w:szCs w:val="44"/>
        </w:rPr>
        <w:t xml:space="preserve"> </w:t>
      </w:r>
      <w:r>
        <w:rPr>
          <w:rFonts w:hint="eastAsia" w:ascii="宋体" w:hAnsi="宋体"/>
          <w:b/>
          <w:color w:val="000000"/>
          <w:sz w:val="36"/>
          <w:szCs w:val="36"/>
        </w:rPr>
        <w:t>采购合同书</w:t>
      </w:r>
    </w:p>
    <w:p>
      <w:pPr>
        <w:spacing w:line="480" w:lineRule="exact"/>
        <w:ind w:firstLine="480" w:firstLineChars="200"/>
        <w:rPr>
          <w:rFonts w:ascii="宋体" w:hAnsi="宋体"/>
          <w:color w:val="000000"/>
          <w:sz w:val="24"/>
        </w:rPr>
      </w:pPr>
      <w:r>
        <w:rPr>
          <w:rFonts w:hint="eastAsia" w:ascii="宋体" w:hAnsi="宋体"/>
          <w:color w:val="000000"/>
          <w:sz w:val="24"/>
        </w:rPr>
        <w:t>甲乙经双方协议达成一致，签定以下合同：</w:t>
      </w:r>
    </w:p>
    <w:p>
      <w:pPr>
        <w:spacing w:line="480" w:lineRule="exact"/>
        <w:ind w:firstLine="480" w:firstLineChars="200"/>
        <w:rPr>
          <w:rFonts w:ascii="宋体" w:hAnsi="宋体"/>
          <w:color w:val="000000"/>
          <w:sz w:val="24"/>
        </w:rPr>
      </w:pPr>
      <w:r>
        <w:rPr>
          <w:rFonts w:hint="eastAsia" w:ascii="宋体" w:hAnsi="宋体"/>
          <w:color w:val="000000"/>
          <w:sz w:val="24"/>
        </w:rPr>
        <w:t>一、设备要求：（包括设备类别名称、品牌、型号、配置、性能、技术参数、产地及制造厂名、数量及价格</w:t>
      </w:r>
      <w:r>
        <w:rPr>
          <w:rFonts w:ascii="宋体" w:hAnsi="宋体"/>
          <w:color w:val="000000"/>
          <w:sz w:val="24"/>
        </w:rPr>
        <w:t>）</w:t>
      </w:r>
      <w:r>
        <w:rPr>
          <w:rFonts w:hint="eastAsia" w:ascii="宋体" w:hAnsi="宋体"/>
          <w:color w:val="000000"/>
          <w:sz w:val="24"/>
        </w:rPr>
        <w:t>。</w:t>
      </w:r>
    </w:p>
    <w:tbl>
      <w:tblPr>
        <w:tblStyle w:val="42"/>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949"/>
        <w:gridCol w:w="564"/>
        <w:gridCol w:w="564"/>
        <w:gridCol w:w="1359"/>
        <w:gridCol w:w="1359"/>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360" w:lineRule="auto"/>
              <w:jc w:val="center"/>
              <w:rPr>
                <w:rFonts w:ascii="宋体" w:hAnsi="宋体"/>
                <w:color w:val="000000"/>
                <w:sz w:val="24"/>
              </w:rPr>
            </w:pPr>
            <w:r>
              <w:rPr>
                <w:rFonts w:hint="eastAsia" w:ascii="宋体" w:hAnsi="宋体"/>
                <w:color w:val="000000"/>
                <w:sz w:val="24"/>
              </w:rPr>
              <w:t>名称</w:t>
            </w:r>
          </w:p>
        </w:tc>
        <w:tc>
          <w:tcPr>
            <w:tcW w:w="2949" w:type="dxa"/>
            <w:vAlign w:val="center"/>
          </w:tcPr>
          <w:p>
            <w:pPr>
              <w:spacing w:line="360" w:lineRule="auto"/>
              <w:jc w:val="center"/>
              <w:rPr>
                <w:rFonts w:ascii="宋体" w:hAnsi="宋体"/>
                <w:color w:val="000000"/>
                <w:sz w:val="24"/>
              </w:rPr>
            </w:pPr>
            <w:r>
              <w:rPr>
                <w:rFonts w:hint="eastAsia" w:ascii="宋体" w:hAnsi="宋体"/>
                <w:color w:val="000000"/>
                <w:sz w:val="24"/>
              </w:rPr>
              <w:t>品牌、型号、配置</w:t>
            </w:r>
          </w:p>
        </w:tc>
        <w:tc>
          <w:tcPr>
            <w:tcW w:w="564" w:type="dxa"/>
            <w:vAlign w:val="center"/>
          </w:tcPr>
          <w:p>
            <w:pPr>
              <w:spacing w:line="360" w:lineRule="auto"/>
              <w:jc w:val="center"/>
              <w:rPr>
                <w:rFonts w:ascii="宋体" w:hAnsi="宋体"/>
                <w:color w:val="000000"/>
                <w:sz w:val="24"/>
              </w:rPr>
            </w:pPr>
            <w:r>
              <w:rPr>
                <w:rFonts w:hint="eastAsia" w:ascii="宋体" w:hAnsi="宋体"/>
                <w:color w:val="000000"/>
                <w:sz w:val="24"/>
              </w:rPr>
              <w:t>单位</w:t>
            </w:r>
          </w:p>
        </w:tc>
        <w:tc>
          <w:tcPr>
            <w:tcW w:w="564" w:type="dxa"/>
            <w:vAlign w:val="center"/>
          </w:tcPr>
          <w:p>
            <w:pPr>
              <w:spacing w:line="360" w:lineRule="auto"/>
              <w:jc w:val="center"/>
              <w:rPr>
                <w:rFonts w:ascii="宋体" w:hAnsi="宋体"/>
                <w:color w:val="000000"/>
                <w:sz w:val="24"/>
              </w:rPr>
            </w:pPr>
            <w:r>
              <w:rPr>
                <w:rFonts w:hint="eastAsia" w:ascii="宋体" w:hAnsi="宋体"/>
                <w:color w:val="000000"/>
                <w:sz w:val="24"/>
              </w:rPr>
              <w:t>数量</w:t>
            </w:r>
          </w:p>
        </w:tc>
        <w:tc>
          <w:tcPr>
            <w:tcW w:w="1359" w:type="dxa"/>
            <w:vAlign w:val="center"/>
          </w:tcPr>
          <w:p>
            <w:pPr>
              <w:spacing w:line="360" w:lineRule="auto"/>
              <w:jc w:val="center"/>
              <w:rPr>
                <w:rFonts w:ascii="宋体" w:hAnsi="宋体"/>
                <w:color w:val="000000"/>
                <w:sz w:val="24"/>
              </w:rPr>
            </w:pPr>
            <w:r>
              <w:rPr>
                <w:rFonts w:hint="eastAsia" w:ascii="宋体" w:hAnsi="宋体"/>
                <w:color w:val="000000"/>
                <w:sz w:val="24"/>
              </w:rPr>
              <w:t>单价（元）</w:t>
            </w:r>
          </w:p>
        </w:tc>
        <w:tc>
          <w:tcPr>
            <w:tcW w:w="1359" w:type="dxa"/>
            <w:vAlign w:val="center"/>
          </w:tcPr>
          <w:p>
            <w:pPr>
              <w:spacing w:line="360" w:lineRule="auto"/>
              <w:jc w:val="center"/>
              <w:rPr>
                <w:rFonts w:ascii="宋体" w:hAnsi="宋体"/>
                <w:color w:val="000000"/>
                <w:sz w:val="24"/>
              </w:rPr>
            </w:pPr>
            <w:r>
              <w:rPr>
                <w:rFonts w:hint="eastAsia" w:ascii="宋体" w:hAnsi="宋体"/>
                <w:color w:val="000000"/>
                <w:sz w:val="24"/>
              </w:rPr>
              <w:t>总价（元）</w:t>
            </w:r>
          </w:p>
        </w:tc>
        <w:tc>
          <w:tcPr>
            <w:tcW w:w="1359" w:type="dxa"/>
            <w:vAlign w:val="center"/>
          </w:tcPr>
          <w:p>
            <w:pPr>
              <w:spacing w:line="360" w:lineRule="auto"/>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360" w:lineRule="auto"/>
              <w:jc w:val="center"/>
              <w:rPr>
                <w:rFonts w:ascii="宋体" w:hAnsi="宋体"/>
                <w:color w:val="000000"/>
                <w:sz w:val="24"/>
              </w:rPr>
            </w:pPr>
          </w:p>
        </w:tc>
        <w:tc>
          <w:tcPr>
            <w:tcW w:w="2949" w:type="dxa"/>
            <w:vAlign w:val="center"/>
          </w:tcPr>
          <w:p>
            <w:pPr>
              <w:spacing w:line="360" w:lineRule="auto"/>
              <w:jc w:val="center"/>
              <w:rPr>
                <w:rFonts w:ascii="宋体" w:hAnsi="宋体"/>
                <w:color w:val="000000"/>
                <w:sz w:val="24"/>
              </w:rPr>
            </w:pPr>
          </w:p>
        </w:tc>
        <w:tc>
          <w:tcPr>
            <w:tcW w:w="564" w:type="dxa"/>
            <w:vAlign w:val="center"/>
          </w:tcPr>
          <w:p>
            <w:pPr>
              <w:spacing w:line="360" w:lineRule="auto"/>
              <w:jc w:val="center"/>
              <w:rPr>
                <w:rFonts w:ascii="宋体" w:hAnsi="宋体"/>
                <w:color w:val="000000"/>
                <w:sz w:val="24"/>
              </w:rPr>
            </w:pPr>
          </w:p>
        </w:tc>
        <w:tc>
          <w:tcPr>
            <w:tcW w:w="564" w:type="dxa"/>
            <w:vAlign w:val="center"/>
          </w:tcPr>
          <w:p>
            <w:pPr>
              <w:spacing w:line="360" w:lineRule="auto"/>
              <w:jc w:val="center"/>
              <w:rPr>
                <w:rFonts w:ascii="宋体" w:hAnsi="宋体"/>
                <w:color w:val="000000"/>
                <w:sz w:val="24"/>
              </w:rPr>
            </w:pPr>
          </w:p>
        </w:tc>
        <w:tc>
          <w:tcPr>
            <w:tcW w:w="1359" w:type="dxa"/>
            <w:vAlign w:val="center"/>
          </w:tcPr>
          <w:p>
            <w:pPr>
              <w:spacing w:line="360" w:lineRule="auto"/>
              <w:jc w:val="center"/>
              <w:rPr>
                <w:rFonts w:ascii="宋体" w:hAnsi="宋体"/>
                <w:color w:val="000000"/>
                <w:sz w:val="24"/>
              </w:rPr>
            </w:pPr>
          </w:p>
        </w:tc>
        <w:tc>
          <w:tcPr>
            <w:tcW w:w="1359" w:type="dxa"/>
            <w:vAlign w:val="center"/>
          </w:tcPr>
          <w:p>
            <w:pPr>
              <w:spacing w:line="360" w:lineRule="auto"/>
              <w:jc w:val="center"/>
              <w:rPr>
                <w:rFonts w:ascii="宋体" w:hAnsi="宋体"/>
                <w:color w:val="000000"/>
                <w:sz w:val="24"/>
              </w:rPr>
            </w:pPr>
          </w:p>
        </w:tc>
        <w:tc>
          <w:tcPr>
            <w:tcW w:w="1359" w:type="dxa"/>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360" w:lineRule="auto"/>
              <w:jc w:val="center"/>
              <w:rPr>
                <w:rFonts w:ascii="宋体" w:hAnsi="宋体"/>
                <w:color w:val="000000"/>
                <w:sz w:val="24"/>
              </w:rPr>
            </w:pPr>
          </w:p>
        </w:tc>
        <w:tc>
          <w:tcPr>
            <w:tcW w:w="2949" w:type="dxa"/>
            <w:vAlign w:val="center"/>
          </w:tcPr>
          <w:p>
            <w:pPr>
              <w:spacing w:line="360" w:lineRule="auto"/>
              <w:jc w:val="center"/>
              <w:rPr>
                <w:rFonts w:ascii="宋体" w:hAnsi="宋体"/>
                <w:color w:val="000000"/>
                <w:sz w:val="24"/>
              </w:rPr>
            </w:pPr>
          </w:p>
        </w:tc>
        <w:tc>
          <w:tcPr>
            <w:tcW w:w="564" w:type="dxa"/>
            <w:vAlign w:val="center"/>
          </w:tcPr>
          <w:p>
            <w:pPr>
              <w:spacing w:line="360" w:lineRule="auto"/>
              <w:jc w:val="center"/>
              <w:rPr>
                <w:rFonts w:ascii="宋体" w:hAnsi="宋体"/>
                <w:color w:val="000000"/>
                <w:sz w:val="24"/>
              </w:rPr>
            </w:pPr>
          </w:p>
        </w:tc>
        <w:tc>
          <w:tcPr>
            <w:tcW w:w="564" w:type="dxa"/>
            <w:vAlign w:val="center"/>
          </w:tcPr>
          <w:p>
            <w:pPr>
              <w:spacing w:line="360" w:lineRule="auto"/>
              <w:jc w:val="center"/>
              <w:rPr>
                <w:rFonts w:ascii="宋体" w:hAnsi="宋体"/>
                <w:color w:val="000000"/>
                <w:sz w:val="24"/>
              </w:rPr>
            </w:pPr>
          </w:p>
        </w:tc>
        <w:tc>
          <w:tcPr>
            <w:tcW w:w="1359" w:type="dxa"/>
            <w:vAlign w:val="center"/>
          </w:tcPr>
          <w:p>
            <w:pPr>
              <w:spacing w:line="360" w:lineRule="auto"/>
              <w:jc w:val="center"/>
              <w:rPr>
                <w:rFonts w:ascii="宋体" w:hAnsi="宋体"/>
                <w:color w:val="000000"/>
                <w:sz w:val="24"/>
              </w:rPr>
            </w:pPr>
          </w:p>
        </w:tc>
        <w:tc>
          <w:tcPr>
            <w:tcW w:w="1359" w:type="dxa"/>
            <w:vAlign w:val="center"/>
          </w:tcPr>
          <w:p>
            <w:pPr>
              <w:spacing w:line="360" w:lineRule="auto"/>
              <w:jc w:val="center"/>
              <w:rPr>
                <w:rFonts w:ascii="宋体" w:hAnsi="宋体"/>
                <w:color w:val="000000"/>
                <w:sz w:val="24"/>
              </w:rPr>
            </w:pPr>
          </w:p>
        </w:tc>
        <w:tc>
          <w:tcPr>
            <w:tcW w:w="1359" w:type="dxa"/>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360" w:lineRule="auto"/>
              <w:jc w:val="center"/>
              <w:rPr>
                <w:rFonts w:ascii="宋体" w:hAnsi="宋体"/>
                <w:color w:val="000000"/>
                <w:sz w:val="24"/>
              </w:rPr>
            </w:pPr>
          </w:p>
        </w:tc>
        <w:tc>
          <w:tcPr>
            <w:tcW w:w="2949" w:type="dxa"/>
            <w:vAlign w:val="center"/>
          </w:tcPr>
          <w:p>
            <w:pPr>
              <w:spacing w:line="360" w:lineRule="auto"/>
              <w:jc w:val="center"/>
              <w:rPr>
                <w:rFonts w:ascii="宋体" w:hAnsi="宋体"/>
                <w:color w:val="000000"/>
                <w:sz w:val="24"/>
              </w:rPr>
            </w:pPr>
          </w:p>
        </w:tc>
        <w:tc>
          <w:tcPr>
            <w:tcW w:w="564" w:type="dxa"/>
            <w:vAlign w:val="center"/>
          </w:tcPr>
          <w:p>
            <w:pPr>
              <w:spacing w:line="360" w:lineRule="auto"/>
              <w:jc w:val="center"/>
              <w:rPr>
                <w:rFonts w:ascii="宋体" w:hAnsi="宋体"/>
                <w:color w:val="000000"/>
                <w:sz w:val="24"/>
              </w:rPr>
            </w:pPr>
          </w:p>
        </w:tc>
        <w:tc>
          <w:tcPr>
            <w:tcW w:w="564" w:type="dxa"/>
            <w:vAlign w:val="center"/>
          </w:tcPr>
          <w:p>
            <w:pPr>
              <w:spacing w:line="360" w:lineRule="auto"/>
              <w:jc w:val="center"/>
              <w:rPr>
                <w:rFonts w:ascii="宋体" w:hAnsi="宋体"/>
                <w:color w:val="000000"/>
                <w:sz w:val="24"/>
              </w:rPr>
            </w:pPr>
          </w:p>
        </w:tc>
        <w:tc>
          <w:tcPr>
            <w:tcW w:w="1359" w:type="dxa"/>
            <w:vAlign w:val="center"/>
          </w:tcPr>
          <w:p>
            <w:pPr>
              <w:spacing w:line="360" w:lineRule="auto"/>
              <w:jc w:val="center"/>
              <w:rPr>
                <w:rFonts w:ascii="宋体" w:hAnsi="宋体"/>
                <w:color w:val="000000"/>
                <w:sz w:val="24"/>
              </w:rPr>
            </w:pPr>
          </w:p>
        </w:tc>
        <w:tc>
          <w:tcPr>
            <w:tcW w:w="1359" w:type="dxa"/>
            <w:vAlign w:val="center"/>
          </w:tcPr>
          <w:p>
            <w:pPr>
              <w:spacing w:line="360" w:lineRule="auto"/>
              <w:jc w:val="center"/>
              <w:rPr>
                <w:rFonts w:ascii="宋体" w:hAnsi="宋体"/>
                <w:color w:val="000000"/>
                <w:sz w:val="24"/>
              </w:rPr>
            </w:pPr>
          </w:p>
        </w:tc>
        <w:tc>
          <w:tcPr>
            <w:tcW w:w="1359" w:type="dxa"/>
            <w:vAlign w:val="center"/>
          </w:tcPr>
          <w:p>
            <w:pPr>
              <w:spacing w:line="360" w:lineRule="auto"/>
              <w:jc w:val="center"/>
              <w:rPr>
                <w:rFonts w:ascii="宋体" w:hAnsi="宋体"/>
                <w:color w:val="000000"/>
                <w:sz w:val="24"/>
              </w:rPr>
            </w:pPr>
          </w:p>
        </w:tc>
      </w:tr>
    </w:tbl>
    <w:p>
      <w:pPr>
        <w:spacing w:line="480" w:lineRule="exact"/>
        <w:ind w:firstLine="480" w:firstLineChars="200"/>
        <w:rPr>
          <w:rFonts w:ascii="宋体" w:hAnsi="宋体"/>
          <w:color w:val="000000"/>
          <w:sz w:val="24"/>
        </w:rPr>
      </w:pPr>
      <w:r>
        <w:rPr>
          <w:rFonts w:hint="eastAsia" w:ascii="宋体" w:hAnsi="宋体"/>
          <w:color w:val="000000"/>
          <w:sz w:val="24"/>
        </w:rPr>
        <w:t>二、合同总价大写：</w:t>
      </w:r>
    </w:p>
    <w:p>
      <w:pPr>
        <w:spacing w:line="480" w:lineRule="exact"/>
        <w:ind w:firstLine="480" w:firstLineChars="200"/>
        <w:rPr>
          <w:rFonts w:ascii="宋体" w:hAnsi="宋体"/>
          <w:color w:val="000000"/>
          <w:sz w:val="24"/>
        </w:rPr>
      </w:pPr>
      <w:r>
        <w:rPr>
          <w:rFonts w:hint="eastAsia" w:ascii="宋体" w:hAnsi="宋体"/>
          <w:color w:val="000000"/>
          <w:sz w:val="24"/>
        </w:rPr>
        <w:t>三、设备质量和售后服务：</w:t>
      </w:r>
    </w:p>
    <w:p>
      <w:pPr>
        <w:spacing w:line="480" w:lineRule="exact"/>
        <w:ind w:firstLine="480" w:firstLineChars="200"/>
        <w:rPr>
          <w:rFonts w:ascii="宋体" w:hAnsi="宋体"/>
          <w:color w:val="000000"/>
          <w:sz w:val="24"/>
        </w:rPr>
      </w:pPr>
      <w:r>
        <w:rPr>
          <w:rFonts w:hint="eastAsia" w:ascii="宋体" w:hAnsi="宋体"/>
          <w:color w:val="000000"/>
          <w:sz w:val="24"/>
        </w:rPr>
        <w:t>乙方提供的设备是采购设备要求的全新的原装正品设备（包括零部件），并符合国家质量检测标准和产品出厂标准。设备及主要配件保修期不低于</w:t>
      </w:r>
      <w:r>
        <w:rPr>
          <w:rFonts w:hint="eastAsia" w:ascii="宋体" w:hAnsi="宋体"/>
          <w:color w:val="000000"/>
          <w:sz w:val="24"/>
          <w:u w:val="single"/>
        </w:rPr>
        <w:t xml:space="preserve">     </w:t>
      </w:r>
      <w:r>
        <w:rPr>
          <w:rFonts w:hint="eastAsia" w:ascii="宋体" w:hAnsi="宋体"/>
          <w:color w:val="000000"/>
          <w:sz w:val="24"/>
        </w:rPr>
        <w:t>年；乙方负责维修；具体售后服务条款如下（或见附件）；</w:t>
      </w:r>
    </w:p>
    <w:p>
      <w:pPr>
        <w:spacing w:line="480" w:lineRule="exact"/>
        <w:ind w:firstLine="480" w:firstLineChars="200"/>
        <w:rPr>
          <w:rFonts w:ascii="宋体" w:hAnsi="宋体"/>
          <w:color w:val="000000"/>
          <w:sz w:val="24"/>
        </w:rPr>
      </w:pPr>
      <w:r>
        <w:rPr>
          <w:rFonts w:hint="eastAsia" w:ascii="宋体" w:hAnsi="宋体"/>
          <w:color w:val="000000"/>
          <w:sz w:val="24"/>
        </w:rPr>
        <w:t>四、以上内容与甲方采购申请确认和成交情况一致，甲乙双方均未作改动。</w:t>
      </w:r>
    </w:p>
    <w:p>
      <w:pPr>
        <w:spacing w:line="480" w:lineRule="exact"/>
        <w:ind w:firstLine="480" w:firstLineChars="200"/>
        <w:rPr>
          <w:rFonts w:ascii="宋体" w:hAnsi="宋体"/>
          <w:color w:val="000000"/>
          <w:sz w:val="24"/>
        </w:rPr>
      </w:pPr>
      <w:r>
        <w:rPr>
          <w:rFonts w:hint="eastAsia" w:ascii="宋体" w:hAnsi="宋体"/>
          <w:color w:val="000000"/>
          <w:sz w:val="24"/>
        </w:rPr>
        <w:t>五、乙方向甲方提供</w:t>
      </w:r>
      <w:r>
        <w:rPr>
          <w:rFonts w:hint="eastAsia" w:ascii="宋体" w:hAnsi="宋体"/>
          <w:color w:val="000000"/>
          <w:sz w:val="24"/>
          <w:u w:val="single"/>
        </w:rPr>
        <w:t xml:space="preserve">     </w:t>
      </w:r>
      <w:r>
        <w:rPr>
          <w:rFonts w:hint="eastAsia" w:ascii="宋体" w:hAnsi="宋体"/>
          <w:color w:val="000000"/>
          <w:sz w:val="24"/>
        </w:rPr>
        <w:t>天在培训，培训内容包括以下方面：</w:t>
      </w:r>
    </w:p>
    <w:p>
      <w:pPr>
        <w:spacing w:line="480" w:lineRule="exact"/>
        <w:ind w:firstLine="480" w:firstLineChars="200"/>
        <w:rPr>
          <w:rFonts w:ascii="宋体" w:hAnsi="宋体"/>
          <w:color w:val="000000"/>
          <w:sz w:val="24"/>
        </w:rPr>
      </w:pPr>
      <w:r>
        <w:rPr>
          <w:rFonts w:hint="eastAsia" w:ascii="宋体" w:hAnsi="宋体"/>
          <w:color w:val="000000"/>
          <w:sz w:val="24"/>
        </w:rPr>
        <w:t>六、交货时间：</w:t>
      </w:r>
      <w:r>
        <w:rPr>
          <w:rFonts w:hint="eastAsia" w:ascii="宋体" w:hAnsi="宋体"/>
          <w:color w:val="000000"/>
          <w:sz w:val="24"/>
          <w:u w:val="single"/>
        </w:rPr>
        <w:t xml:space="preserve">            </w:t>
      </w:r>
      <w:r>
        <w:rPr>
          <w:rFonts w:hint="eastAsia" w:ascii="宋体" w:hAnsi="宋体"/>
          <w:color w:val="000000"/>
          <w:sz w:val="24"/>
        </w:rPr>
        <w:t>。</w:t>
      </w:r>
    </w:p>
    <w:p>
      <w:pPr>
        <w:spacing w:line="480" w:lineRule="exact"/>
        <w:ind w:firstLine="480" w:firstLineChars="200"/>
        <w:rPr>
          <w:rFonts w:ascii="宋体" w:hAnsi="宋体"/>
          <w:color w:val="000000"/>
          <w:sz w:val="24"/>
        </w:rPr>
      </w:pPr>
      <w:r>
        <w:rPr>
          <w:rFonts w:hint="eastAsia" w:ascii="宋体" w:hAnsi="宋体"/>
          <w:color w:val="000000"/>
          <w:sz w:val="24"/>
        </w:rPr>
        <w:t>七、交货地点和方式：由乙方送货到甲方指定的地点并完成安装调试验收。</w:t>
      </w:r>
    </w:p>
    <w:p>
      <w:pPr>
        <w:spacing w:line="480" w:lineRule="exact"/>
        <w:ind w:firstLine="480" w:firstLineChars="200"/>
        <w:rPr>
          <w:rFonts w:ascii="宋体" w:hAnsi="宋体"/>
          <w:color w:val="000000"/>
          <w:sz w:val="24"/>
        </w:rPr>
      </w:pPr>
      <w:r>
        <w:rPr>
          <w:rFonts w:hint="eastAsia" w:ascii="宋体" w:hAnsi="宋体"/>
          <w:color w:val="000000"/>
          <w:sz w:val="24"/>
        </w:rPr>
        <w:t>八、交货时，乙方随货向甲方交付设备必须的合格证明资料、发票、相关资料及配备的用件、用具等；甲方按规定和统一的验收单进行验收。</w:t>
      </w:r>
    </w:p>
    <w:p>
      <w:pPr>
        <w:spacing w:line="480" w:lineRule="exact"/>
        <w:ind w:firstLine="480" w:firstLineChars="200"/>
        <w:rPr>
          <w:rFonts w:ascii="宋体" w:hAnsi="宋体"/>
          <w:color w:val="FF6600"/>
          <w:sz w:val="24"/>
        </w:rPr>
      </w:pPr>
      <w:r>
        <w:rPr>
          <w:rFonts w:hint="eastAsia" w:ascii="宋体" w:hAnsi="宋体"/>
          <w:color w:val="000000"/>
          <w:sz w:val="24"/>
        </w:rPr>
        <w:t>九、</w:t>
      </w:r>
      <w:r>
        <w:rPr>
          <w:rFonts w:hint="eastAsia" w:ascii="宋体" w:hAnsi="宋体"/>
          <w:sz w:val="24"/>
        </w:rPr>
        <w:t>设备验收合格后。乙方凭设备验收清单、合同书、发票与甲方办公室结算。付款方式：</w:t>
      </w:r>
    </w:p>
    <w:p>
      <w:pPr>
        <w:spacing w:line="480" w:lineRule="exact"/>
        <w:ind w:firstLine="480" w:firstLineChars="200"/>
        <w:rPr>
          <w:rFonts w:ascii="宋体" w:hAnsi="宋体"/>
          <w:color w:val="000000"/>
          <w:sz w:val="24"/>
        </w:rPr>
      </w:pPr>
      <w:r>
        <w:rPr>
          <w:rFonts w:hint="eastAsia" w:ascii="宋体" w:hAnsi="宋体"/>
          <w:color w:val="000000"/>
          <w:sz w:val="24"/>
        </w:rPr>
        <w:t>十、违约责任：</w:t>
      </w:r>
    </w:p>
    <w:p>
      <w:pPr>
        <w:spacing w:line="480" w:lineRule="exact"/>
        <w:ind w:firstLine="480" w:firstLineChars="200"/>
        <w:rPr>
          <w:rFonts w:ascii="宋体" w:hAnsi="宋体"/>
          <w:color w:val="000000"/>
          <w:sz w:val="24"/>
        </w:rPr>
      </w:pPr>
      <w:r>
        <w:rPr>
          <w:rFonts w:hint="eastAsia" w:ascii="宋体" w:hAnsi="宋体"/>
          <w:color w:val="000000"/>
          <w:sz w:val="24"/>
        </w:rPr>
        <w:t>除发生不可抗力事实外，乙方不能按期交付设备或所交设备与本合同标准不相符合的，甲方有权拒收设备，乙方应偿付合同总价百分之五违约金，并向甲方每日偿付合同总价万分之五的滞纳金。</w:t>
      </w:r>
    </w:p>
    <w:p>
      <w:pPr>
        <w:spacing w:line="480" w:lineRule="exact"/>
        <w:ind w:firstLine="480" w:firstLineChars="200"/>
        <w:rPr>
          <w:rFonts w:ascii="宋体" w:hAnsi="宋体"/>
          <w:color w:val="000000"/>
          <w:sz w:val="24"/>
        </w:rPr>
      </w:pPr>
      <w:r>
        <w:rPr>
          <w:rFonts w:hint="eastAsia" w:ascii="宋体" w:hAnsi="宋体"/>
          <w:color w:val="000000"/>
          <w:sz w:val="24"/>
        </w:rPr>
        <w:t>甲方无正当理由拒收设备，甲方应向乙方偿付设备总价百分之五的违约金，并按逾期支付合同款项乙方每日偿付欠款总额万分之五的滞纳金。</w:t>
      </w:r>
    </w:p>
    <w:p>
      <w:pPr>
        <w:spacing w:line="480" w:lineRule="exact"/>
        <w:ind w:firstLine="480" w:firstLineChars="200"/>
        <w:rPr>
          <w:rFonts w:ascii="宋体" w:hAnsi="宋体"/>
          <w:color w:val="000000"/>
          <w:sz w:val="24"/>
        </w:rPr>
      </w:pPr>
      <w:r>
        <w:rPr>
          <w:rFonts w:hint="eastAsia" w:ascii="宋体" w:hAnsi="宋体"/>
          <w:color w:val="000000"/>
          <w:sz w:val="24"/>
        </w:rPr>
        <w:t>十一、甲方有权拒付合同以外的任何费用，甲方也不得提出超出合同规定的要求。</w:t>
      </w:r>
    </w:p>
    <w:p>
      <w:pPr>
        <w:spacing w:line="480" w:lineRule="exact"/>
        <w:ind w:firstLine="480" w:firstLineChars="200"/>
        <w:rPr>
          <w:rFonts w:ascii="宋体" w:hAnsi="宋体"/>
          <w:color w:val="000000"/>
          <w:sz w:val="24"/>
        </w:rPr>
      </w:pPr>
      <w:r>
        <w:rPr>
          <w:rFonts w:hint="eastAsia" w:ascii="宋体" w:hAnsi="宋体"/>
          <w:color w:val="000000"/>
          <w:sz w:val="24"/>
        </w:rPr>
        <w:t>十二、甲乙双方在履行合同过程中发生纠纷，应及时向政府采购办或有关部门反映，以便有关部门协调或处理。</w:t>
      </w:r>
    </w:p>
    <w:p>
      <w:pPr>
        <w:spacing w:line="480" w:lineRule="exact"/>
        <w:ind w:firstLine="480" w:firstLineChars="200"/>
        <w:rPr>
          <w:rFonts w:ascii="宋体" w:hAnsi="宋体"/>
          <w:color w:val="000000"/>
          <w:sz w:val="24"/>
        </w:rPr>
      </w:pPr>
      <w:r>
        <w:rPr>
          <w:rFonts w:hint="eastAsia" w:ascii="宋体" w:hAnsi="宋体"/>
          <w:color w:val="000000"/>
          <w:sz w:val="24"/>
        </w:rPr>
        <w:t>十三、本合同发生争议产生的诉讼，由合同签定地人民法院管辖。</w:t>
      </w:r>
    </w:p>
    <w:p>
      <w:pPr>
        <w:spacing w:line="480" w:lineRule="exact"/>
        <w:ind w:firstLine="480" w:firstLineChars="200"/>
        <w:rPr>
          <w:rFonts w:ascii="宋体" w:hAnsi="宋体"/>
          <w:color w:val="000000"/>
          <w:sz w:val="24"/>
        </w:rPr>
      </w:pPr>
      <w:r>
        <w:rPr>
          <w:rFonts w:hint="eastAsia" w:ascii="宋体" w:hAnsi="宋体"/>
          <w:color w:val="000000"/>
          <w:sz w:val="24"/>
        </w:rPr>
        <w:t>十四、本合同其他事宜，按合同法有关规定处理。</w:t>
      </w:r>
    </w:p>
    <w:p>
      <w:pPr>
        <w:spacing w:line="480" w:lineRule="exact"/>
        <w:ind w:firstLine="480" w:firstLineChars="200"/>
        <w:rPr>
          <w:rFonts w:ascii="宋体" w:hAnsi="宋体"/>
          <w:color w:val="000000"/>
          <w:sz w:val="24"/>
        </w:rPr>
      </w:pPr>
      <w:r>
        <w:rPr>
          <w:rFonts w:hint="eastAsia" w:ascii="宋体" w:hAnsi="宋体"/>
          <w:color w:val="000000"/>
          <w:sz w:val="24"/>
        </w:rPr>
        <w:t>十五、本合同一式</w:t>
      </w:r>
      <w:r>
        <w:rPr>
          <w:rFonts w:hint="eastAsia" w:ascii="宋体" w:hAnsi="宋体"/>
          <w:color w:val="000000"/>
          <w:sz w:val="24"/>
          <w:u w:val="single"/>
        </w:rPr>
        <w:t xml:space="preserve">   </w:t>
      </w:r>
      <w:r>
        <w:rPr>
          <w:rFonts w:hint="eastAsia" w:ascii="宋体" w:hAnsi="宋体"/>
          <w:color w:val="000000"/>
          <w:sz w:val="24"/>
        </w:rPr>
        <w:t>份，甲乙双方各执</w:t>
      </w:r>
      <w:r>
        <w:rPr>
          <w:rFonts w:hint="eastAsia" w:ascii="宋体" w:hAnsi="宋体"/>
          <w:color w:val="000000"/>
          <w:sz w:val="24"/>
          <w:u w:val="single"/>
        </w:rPr>
        <w:t xml:space="preserve">  </w:t>
      </w:r>
      <w:r>
        <w:rPr>
          <w:rFonts w:hint="eastAsia" w:ascii="宋体" w:hAnsi="宋体"/>
          <w:color w:val="000000"/>
          <w:sz w:val="24"/>
        </w:rPr>
        <w:t>份。</w:t>
      </w:r>
    </w:p>
    <w:p>
      <w:pPr>
        <w:spacing w:line="480" w:lineRule="exact"/>
        <w:ind w:firstLine="480" w:firstLineChars="200"/>
        <w:rPr>
          <w:rFonts w:ascii="宋体" w:hAnsi="宋体"/>
          <w:color w:val="000000"/>
          <w:sz w:val="24"/>
        </w:rPr>
      </w:pPr>
      <w:r>
        <w:rPr>
          <w:rFonts w:hint="eastAsia" w:ascii="宋体" w:hAnsi="宋体"/>
          <w:color w:val="000000"/>
          <w:sz w:val="24"/>
        </w:rPr>
        <w:t>十六、本合同自签定之日起生效</w:t>
      </w:r>
    </w:p>
    <w:p>
      <w:pPr>
        <w:spacing w:line="480" w:lineRule="exact"/>
        <w:ind w:firstLine="480" w:firstLineChars="200"/>
        <w:rPr>
          <w:rFonts w:ascii="宋体" w:hAnsi="宋体"/>
          <w:color w:val="000000"/>
          <w:sz w:val="24"/>
        </w:rPr>
      </w:pPr>
    </w:p>
    <w:p>
      <w:pPr>
        <w:spacing w:line="480" w:lineRule="exact"/>
        <w:ind w:firstLine="480" w:firstLineChars="200"/>
        <w:rPr>
          <w:rFonts w:ascii="宋体" w:hAnsi="宋体"/>
          <w:color w:val="000000"/>
          <w:sz w:val="24"/>
        </w:rPr>
      </w:pPr>
      <w:r>
        <w:rPr>
          <w:rFonts w:hint="eastAsia" w:ascii="宋体" w:hAnsi="宋体"/>
          <w:color w:val="000000"/>
          <w:sz w:val="24"/>
        </w:rPr>
        <w:t>甲方：                                       乙方：</w:t>
      </w:r>
    </w:p>
    <w:p>
      <w:pPr>
        <w:spacing w:line="480" w:lineRule="exact"/>
        <w:ind w:firstLine="480" w:firstLineChars="200"/>
        <w:rPr>
          <w:rFonts w:ascii="宋体" w:hAnsi="宋体"/>
          <w:color w:val="000000"/>
          <w:sz w:val="24"/>
        </w:rPr>
      </w:pPr>
      <w:r>
        <w:rPr>
          <w:rFonts w:hint="eastAsia" w:ascii="宋体" w:hAnsi="宋体"/>
          <w:color w:val="000000"/>
          <w:sz w:val="24"/>
        </w:rPr>
        <w:t>地址：                                       地址：</w:t>
      </w:r>
    </w:p>
    <w:p>
      <w:pPr>
        <w:spacing w:line="480" w:lineRule="exact"/>
        <w:ind w:firstLine="480" w:firstLineChars="200"/>
        <w:rPr>
          <w:rFonts w:ascii="宋体" w:hAnsi="宋体"/>
          <w:color w:val="000000"/>
          <w:sz w:val="24"/>
        </w:rPr>
      </w:pPr>
      <w:r>
        <w:rPr>
          <w:rFonts w:hint="eastAsia" w:ascii="宋体" w:hAnsi="宋体"/>
          <w:color w:val="000000"/>
          <w:sz w:val="24"/>
        </w:rPr>
        <w:t>法定代表：                                   法定代表：</w:t>
      </w:r>
    </w:p>
    <w:p>
      <w:pPr>
        <w:spacing w:line="480" w:lineRule="exact"/>
        <w:ind w:firstLine="480" w:firstLineChars="200"/>
        <w:rPr>
          <w:rFonts w:ascii="宋体" w:hAnsi="宋体"/>
          <w:color w:val="000000"/>
          <w:sz w:val="24"/>
        </w:rPr>
      </w:pPr>
      <w:r>
        <w:rPr>
          <w:rFonts w:hint="eastAsia" w:ascii="宋体" w:hAnsi="宋体"/>
          <w:color w:val="000000"/>
          <w:sz w:val="24"/>
        </w:rPr>
        <w:t>委托代理人：                                 委托代理人：</w:t>
      </w:r>
    </w:p>
    <w:p>
      <w:pPr>
        <w:spacing w:line="480" w:lineRule="exact"/>
        <w:ind w:firstLine="480" w:firstLineChars="200"/>
        <w:rPr>
          <w:rFonts w:ascii="宋体" w:hAnsi="宋体"/>
          <w:color w:val="000000"/>
          <w:sz w:val="24"/>
        </w:rPr>
      </w:pPr>
      <w:r>
        <w:rPr>
          <w:rFonts w:hint="eastAsia" w:ascii="宋体" w:hAnsi="宋体"/>
          <w:color w:val="000000"/>
          <w:sz w:val="24"/>
        </w:rPr>
        <w:t>电话号码：                                   电话号码：</w:t>
      </w:r>
    </w:p>
    <w:p>
      <w:pPr>
        <w:spacing w:line="480" w:lineRule="exact"/>
        <w:ind w:firstLine="480" w:firstLineChars="200"/>
        <w:rPr>
          <w:rFonts w:ascii="宋体" w:hAnsi="宋体"/>
          <w:color w:val="000000"/>
          <w:sz w:val="24"/>
        </w:rPr>
      </w:pPr>
      <w:r>
        <w:rPr>
          <w:rFonts w:hint="eastAsia" w:ascii="宋体" w:hAnsi="宋体"/>
          <w:color w:val="000000"/>
          <w:sz w:val="24"/>
        </w:rPr>
        <w:t>开户银行：                                   开户银行：</w:t>
      </w:r>
    </w:p>
    <w:p>
      <w:pPr>
        <w:ind w:firstLine="480" w:firstLineChars="200"/>
        <w:jc w:val="left"/>
        <w:rPr>
          <w:sz w:val="28"/>
          <w:szCs w:val="28"/>
        </w:rPr>
      </w:pPr>
      <w:r>
        <w:rPr>
          <w:rFonts w:hint="eastAsia" w:ascii="宋体" w:hAnsi="宋体"/>
          <w:color w:val="000000"/>
          <w:sz w:val="24"/>
        </w:rPr>
        <w:t>账号：                                       账号：</w:t>
      </w:r>
    </w:p>
    <w:p>
      <w:pPr>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4"/>
        <w:numPr>
          <w:ilvl w:val="0"/>
          <w:numId w:val="3"/>
        </w:numPr>
        <w:rPr>
          <w:rFonts w:ascii="宋体" w:hAnsi="宋体" w:eastAsia="宋体"/>
        </w:rPr>
      </w:pPr>
      <w:r>
        <w:rPr>
          <w:rFonts w:hint="eastAsia" w:ascii="宋体" w:hAnsi="宋体" w:eastAsia="宋体"/>
        </w:rPr>
        <w:t>竞争性磋商申请文件格式</w:t>
      </w:r>
    </w:p>
    <w:p/>
    <w:p/>
    <w:p/>
    <w:p>
      <w:pPr>
        <w:adjustRightInd w:val="0"/>
        <w:snapToGrid w:val="0"/>
        <w:jc w:val="center"/>
        <w:rPr>
          <w:rFonts w:ascii="宋体" w:hAnsi="宋体"/>
          <w:b/>
          <w:bCs/>
          <w:kern w:val="0"/>
          <w:sz w:val="44"/>
          <w:szCs w:val="44"/>
          <w:u w:val="single"/>
        </w:rPr>
      </w:pPr>
    </w:p>
    <w:p>
      <w:pPr>
        <w:adjustRightInd w:val="0"/>
        <w:snapToGrid w:val="0"/>
        <w:jc w:val="center"/>
        <w:rPr>
          <w:rFonts w:ascii="宋体" w:hAnsi="宋体"/>
          <w:b/>
          <w:bCs/>
          <w:kern w:val="0"/>
          <w:sz w:val="52"/>
          <w:szCs w:val="52"/>
        </w:rPr>
      </w:pPr>
      <w:r>
        <w:rPr>
          <w:rFonts w:hint="eastAsia" w:ascii="宋体" w:hAnsi="宋体"/>
          <w:b/>
          <w:bCs/>
          <w:kern w:val="0"/>
          <w:sz w:val="52"/>
          <w:szCs w:val="52"/>
          <w:u w:val="single"/>
        </w:rPr>
        <w:t xml:space="preserve">                  </w:t>
      </w:r>
      <w:r>
        <w:rPr>
          <w:rFonts w:hint="eastAsia" w:ascii="宋体" w:hAnsi="宋体"/>
          <w:b/>
          <w:bCs/>
          <w:kern w:val="0"/>
          <w:sz w:val="52"/>
          <w:szCs w:val="52"/>
        </w:rPr>
        <w:t>项目</w:t>
      </w:r>
    </w:p>
    <w:p>
      <w:pPr>
        <w:adjustRightInd w:val="0"/>
        <w:snapToGrid w:val="0"/>
        <w:jc w:val="center"/>
        <w:rPr>
          <w:rFonts w:ascii="宋体" w:hAnsi="宋体"/>
          <w:b/>
          <w:kern w:val="0"/>
          <w:sz w:val="72"/>
          <w:szCs w:val="72"/>
        </w:rPr>
      </w:pPr>
    </w:p>
    <w:p>
      <w:pPr>
        <w:adjustRightInd w:val="0"/>
        <w:snapToGrid w:val="0"/>
        <w:jc w:val="center"/>
        <w:rPr>
          <w:rFonts w:ascii="宋体" w:hAnsi="宋体"/>
          <w:b/>
          <w:kern w:val="0"/>
          <w:sz w:val="72"/>
          <w:szCs w:val="72"/>
        </w:rPr>
      </w:pPr>
    </w:p>
    <w:p>
      <w:pPr>
        <w:adjustRightInd w:val="0"/>
        <w:snapToGrid w:val="0"/>
        <w:jc w:val="center"/>
        <w:rPr>
          <w:rFonts w:ascii="宋体" w:hAnsi="宋体"/>
          <w:b/>
          <w:kern w:val="0"/>
          <w:sz w:val="72"/>
          <w:szCs w:val="72"/>
        </w:rPr>
      </w:pPr>
      <w:r>
        <w:rPr>
          <w:rFonts w:hint="eastAsia" w:ascii="宋体" w:hAnsi="宋体"/>
          <w:b/>
          <w:kern w:val="0"/>
          <w:sz w:val="72"/>
          <w:szCs w:val="72"/>
        </w:rPr>
        <w:t>竞争性磋商申请文件</w:t>
      </w: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jc w:val="center"/>
        <w:rPr>
          <w:rFonts w:ascii="宋体" w:hAnsi="宋体"/>
          <w:kern w:val="0"/>
          <w:sz w:val="32"/>
          <w:szCs w:val="32"/>
        </w:rPr>
      </w:pPr>
      <w:r>
        <w:rPr>
          <w:rFonts w:hint="eastAsia" w:ascii="宋体" w:hAnsi="宋体"/>
          <w:kern w:val="0"/>
          <w:sz w:val="32"/>
          <w:szCs w:val="32"/>
        </w:rPr>
        <w:t xml:space="preserve">  招标编号：</w:t>
      </w:r>
      <w:r>
        <w:rPr>
          <w:rFonts w:hint="eastAsia" w:ascii="宋体" w:hAnsi="宋体"/>
          <w:b/>
          <w:bCs/>
          <w:kern w:val="0"/>
          <w:sz w:val="32"/>
          <w:szCs w:val="32"/>
        </w:rPr>
        <w:t xml:space="preserve"> </w:t>
      </w:r>
    </w:p>
    <w:p>
      <w:pPr>
        <w:adjustRightInd w:val="0"/>
        <w:snapToGrid w:val="0"/>
        <w:ind w:firstLine="541" w:firstLineChars="258"/>
        <w:rPr>
          <w:rFonts w:ascii="宋体" w:hAnsi="宋体"/>
          <w:kern w:val="0"/>
        </w:rPr>
      </w:pPr>
      <w:r>
        <w:rPr>
          <w:rFonts w:hint="eastAsia" w:ascii="宋体" w:hAnsi="宋体"/>
          <w:kern w:val="0"/>
        </w:rPr>
        <w:t xml:space="preserve"> </w:t>
      </w: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rPr>
          <w:rFonts w:ascii="宋体" w:hAnsi="宋体"/>
          <w:kern w:val="0"/>
        </w:rPr>
      </w:pP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p>
    <w:p>
      <w:pPr>
        <w:adjustRightInd w:val="0"/>
        <w:snapToGrid w:val="0"/>
        <w:ind w:firstLine="541" w:firstLineChars="258"/>
        <w:rPr>
          <w:rFonts w:ascii="宋体" w:hAnsi="宋体"/>
          <w:kern w:val="0"/>
        </w:rPr>
      </w:pPr>
      <w:r>
        <w:rPr>
          <w:rFonts w:hint="eastAsia" w:ascii="宋体" w:hAnsi="宋体"/>
          <w:kern w:val="0"/>
        </w:rPr>
        <w:t xml:space="preserve">  </w:t>
      </w:r>
    </w:p>
    <w:p>
      <w:pPr>
        <w:adjustRightInd w:val="0"/>
        <w:snapToGrid w:val="0"/>
        <w:spacing w:line="360" w:lineRule="auto"/>
        <w:ind w:firstLine="722" w:firstLineChars="258"/>
        <w:rPr>
          <w:rFonts w:ascii="宋体" w:hAnsi="宋体"/>
          <w:kern w:val="0"/>
          <w:sz w:val="28"/>
          <w:szCs w:val="28"/>
        </w:rPr>
      </w:pPr>
      <w:r>
        <w:rPr>
          <w:rFonts w:hint="eastAsia" w:ascii="宋体" w:hAnsi="宋体"/>
          <w:kern w:val="0"/>
          <w:sz w:val="28"/>
          <w:szCs w:val="28"/>
        </w:rPr>
        <w:t xml:space="preserve">   报价申请人：</w:t>
      </w:r>
      <w:r>
        <w:rPr>
          <w:rFonts w:hint="eastAsia" w:ascii="宋体" w:hAnsi="宋体"/>
          <w:kern w:val="0"/>
          <w:sz w:val="28"/>
          <w:szCs w:val="28"/>
          <w:u w:val="single"/>
        </w:rPr>
        <w:t xml:space="preserve">                             （盖章）</w:t>
      </w:r>
    </w:p>
    <w:p>
      <w:pPr>
        <w:adjustRightInd w:val="0"/>
        <w:snapToGrid w:val="0"/>
        <w:spacing w:line="360" w:lineRule="auto"/>
        <w:ind w:firstLine="722" w:firstLineChars="258"/>
        <w:rPr>
          <w:rFonts w:ascii="宋体" w:hAnsi="宋体"/>
          <w:kern w:val="0"/>
          <w:sz w:val="28"/>
          <w:szCs w:val="28"/>
        </w:rPr>
      </w:pPr>
      <w:r>
        <w:rPr>
          <w:rFonts w:hint="eastAsia" w:ascii="宋体" w:hAnsi="宋体"/>
          <w:kern w:val="0"/>
          <w:sz w:val="28"/>
          <w:szCs w:val="28"/>
        </w:rPr>
        <w:t xml:space="preserve">   法定代表人或委托代理人：</w:t>
      </w:r>
      <w:r>
        <w:rPr>
          <w:rFonts w:hint="eastAsia" w:ascii="宋体" w:hAnsi="宋体"/>
          <w:kern w:val="0"/>
          <w:sz w:val="28"/>
          <w:szCs w:val="28"/>
          <w:u w:val="single"/>
        </w:rPr>
        <w:t xml:space="preserve">                 （签字或盖章）</w:t>
      </w:r>
    </w:p>
    <w:p>
      <w:pPr>
        <w:adjustRightInd w:val="0"/>
        <w:snapToGrid w:val="0"/>
        <w:spacing w:line="360" w:lineRule="auto"/>
        <w:ind w:firstLine="1142" w:firstLineChars="408"/>
        <w:rPr>
          <w:rFonts w:ascii="宋体" w:hAnsi="宋体"/>
          <w:kern w:val="0"/>
          <w:sz w:val="28"/>
          <w:szCs w:val="28"/>
        </w:rPr>
      </w:pPr>
      <w:r>
        <w:rPr>
          <w:rFonts w:hint="eastAsia" w:ascii="宋体" w:hAnsi="宋体"/>
          <w:kern w:val="0"/>
          <w:sz w:val="28"/>
          <w:szCs w:val="28"/>
        </w:rPr>
        <w:t xml:space="preserve">日期：       </w:t>
      </w:r>
    </w:p>
    <w:p>
      <w:pPr>
        <w:rPr>
          <w:rFonts w:ascii="宋体" w:hAnsi="宋体"/>
          <w:b/>
        </w:rPr>
      </w:pPr>
    </w:p>
    <w:p>
      <w:pPr>
        <w:tabs>
          <w:tab w:val="left" w:pos="-1800"/>
        </w:tabs>
        <w:rPr>
          <w:rFonts w:ascii="宋体" w:hAnsi="宋体"/>
          <w:sz w:val="24"/>
        </w:rPr>
      </w:pPr>
      <w:bookmarkStart w:id="66" w:name="_Toc280711060"/>
      <w:bookmarkStart w:id="67" w:name="_Toc252812878"/>
      <w:bookmarkStart w:id="68" w:name="_Toc55719856"/>
      <w:bookmarkStart w:id="69" w:name="_Toc294549425"/>
      <w:r>
        <w:rPr>
          <w:rFonts w:ascii="宋体" w:hAnsi="宋体"/>
          <w:sz w:val="36"/>
          <w:szCs w:val="36"/>
        </w:rPr>
        <w:br w:type="page"/>
      </w:r>
    </w:p>
    <w:p>
      <w:pPr>
        <w:pStyle w:val="4"/>
        <w:spacing w:line="360" w:lineRule="auto"/>
        <w:rPr>
          <w:rFonts w:ascii="宋体" w:hAnsi="宋体" w:eastAsia="宋体"/>
          <w:szCs w:val="32"/>
        </w:rPr>
      </w:pPr>
      <w:r>
        <w:rPr>
          <w:rFonts w:hint="eastAsia" w:ascii="宋体" w:hAnsi="宋体" w:eastAsia="宋体"/>
          <w:szCs w:val="32"/>
        </w:rPr>
        <w:t>一、</w:t>
      </w:r>
      <w:bookmarkEnd w:id="66"/>
      <w:bookmarkEnd w:id="67"/>
      <w:bookmarkEnd w:id="68"/>
      <w:bookmarkEnd w:id="69"/>
      <w:r>
        <w:rPr>
          <w:rFonts w:hint="eastAsia" w:ascii="宋体" w:hAnsi="宋体" w:eastAsia="宋体"/>
          <w:szCs w:val="32"/>
        </w:rPr>
        <w:t>竞争性磋商报价申请函</w:t>
      </w:r>
    </w:p>
    <w:p>
      <w:pPr>
        <w:spacing w:line="440" w:lineRule="exact"/>
        <w:rPr>
          <w:rFonts w:ascii="宋体" w:hAnsi="宋体" w:cs="宋体-18030"/>
          <w:sz w:val="24"/>
        </w:rPr>
      </w:pPr>
      <w:r>
        <w:rPr>
          <w:rFonts w:hint="eastAsia" w:ascii="宋体" w:hAnsi="宋体" w:cs="宋体-18030"/>
          <w:sz w:val="24"/>
        </w:rPr>
        <w:t>致:</w:t>
      </w:r>
      <w:r>
        <w:rPr>
          <w:rFonts w:hint="eastAsia" w:ascii="宋体" w:hAnsi="宋体" w:cs="宋体-18030"/>
          <w:sz w:val="24"/>
          <w:u w:val="single"/>
        </w:rPr>
        <w:t xml:space="preserve">                     </w:t>
      </w:r>
      <w:r>
        <w:rPr>
          <w:rFonts w:hint="eastAsia" w:ascii="宋体" w:hAnsi="宋体" w:cs="宋体-18030"/>
          <w:sz w:val="24"/>
        </w:rPr>
        <w:t>（采购人全称）：</w:t>
      </w:r>
    </w:p>
    <w:p>
      <w:pPr>
        <w:spacing w:line="440" w:lineRule="exact"/>
        <w:ind w:left="178" w:leftChars="85" w:firstLine="480" w:firstLineChars="200"/>
        <w:rPr>
          <w:rFonts w:ascii="宋体" w:hAnsi="宋体" w:cs="宋体-18030"/>
          <w:sz w:val="24"/>
        </w:rPr>
      </w:pPr>
      <w:r>
        <w:rPr>
          <w:rFonts w:ascii="宋体" w:hAnsi="宋体" w:cs="宋体-18030"/>
          <w:sz w:val="24"/>
        </w:rPr>
        <w:t xml:space="preserve">1. </w:t>
      </w:r>
      <w:r>
        <w:rPr>
          <w:rFonts w:hint="eastAsia" w:ascii="宋体" w:hAnsi="宋体" w:cs="宋体-18030"/>
          <w:sz w:val="24"/>
        </w:rPr>
        <w:t>根据你方项目名称为</w:t>
      </w:r>
      <w:r>
        <w:rPr>
          <w:rFonts w:hint="eastAsia" w:ascii="宋体" w:hAnsi="宋体" w:cs="宋体-18030"/>
          <w:sz w:val="24"/>
          <w:u w:val="single"/>
        </w:rPr>
        <w:t xml:space="preserve">        </w:t>
      </w:r>
      <w:r>
        <w:rPr>
          <w:rFonts w:hint="eastAsia" w:ascii="宋体" w:hAnsi="宋体" w:cs="宋体-18030"/>
          <w:sz w:val="24"/>
        </w:rPr>
        <w:t>，招标编号为</w:t>
      </w:r>
      <w:r>
        <w:rPr>
          <w:rFonts w:hint="eastAsia" w:ascii="宋体" w:hAnsi="宋体" w:cs="宋体-18030"/>
          <w:sz w:val="24"/>
          <w:u w:val="single"/>
        </w:rPr>
        <w:t xml:space="preserve">          </w:t>
      </w:r>
      <w:r>
        <w:rPr>
          <w:rFonts w:hint="eastAsia" w:ascii="宋体" w:hAnsi="宋体" w:cs="宋体-18030"/>
          <w:sz w:val="24"/>
        </w:rPr>
        <w:t>的竞争性磋商采购文件，遵照《中华人民共和国政府采购法》等有关文件规定，经踏勘项目现场和研究上述文件的须知及其它有关文件后，我方愿以</w:t>
      </w:r>
      <w:r>
        <w:rPr>
          <w:rFonts w:hint="eastAsia" w:ascii="宋体" w:hAnsi="宋体"/>
          <w:sz w:val="24"/>
        </w:rPr>
        <w:t>：</w:t>
      </w:r>
      <w:r>
        <w:rPr>
          <w:rFonts w:hint="eastAsia" w:ascii="宋体" w:hAnsi="宋体"/>
          <w:sz w:val="24"/>
          <w:u w:val="single"/>
        </w:rPr>
        <w:t xml:space="preserve">        </w:t>
      </w:r>
      <w:r>
        <w:rPr>
          <w:rFonts w:hint="eastAsia" w:ascii="宋体" w:hAnsi="宋体"/>
          <w:sz w:val="24"/>
        </w:rPr>
        <w:t>元(大写 ：</w:t>
      </w:r>
      <w:r>
        <w:rPr>
          <w:rFonts w:hint="eastAsia" w:ascii="宋体" w:hAnsi="宋体"/>
          <w:sz w:val="24"/>
          <w:u w:val="single"/>
        </w:rPr>
        <w:t xml:space="preserve">           </w:t>
      </w:r>
      <w:r>
        <w:rPr>
          <w:rFonts w:hint="eastAsia" w:ascii="宋体" w:hAnsi="宋体"/>
          <w:sz w:val="24"/>
        </w:rPr>
        <w:t>)</w:t>
      </w:r>
      <w:r>
        <w:rPr>
          <w:rFonts w:hint="eastAsia" w:ascii="宋体" w:hAnsi="宋体" w:cs="宋体-18030"/>
          <w:sz w:val="24"/>
        </w:rPr>
        <w:t>作为申请报价</w:t>
      </w:r>
      <w:r>
        <w:rPr>
          <w:rFonts w:hint="eastAsia" w:ascii="宋体" w:hAnsi="宋体"/>
          <w:sz w:val="24"/>
        </w:rPr>
        <w:t>并按上述文件、标准的要求，承包上述项目的供货任务</w:t>
      </w:r>
      <w:r>
        <w:rPr>
          <w:rFonts w:hint="eastAsia" w:ascii="宋体" w:hAnsi="宋体" w:cs="宋体-18030"/>
          <w:sz w:val="24"/>
        </w:rPr>
        <w:t>。</w:t>
      </w:r>
    </w:p>
    <w:p>
      <w:pPr>
        <w:spacing w:line="440" w:lineRule="exact"/>
        <w:ind w:firstLine="720" w:firstLineChars="300"/>
        <w:rPr>
          <w:rFonts w:ascii="宋体" w:hAnsi="宋体" w:cs="宋体-18030"/>
          <w:sz w:val="24"/>
        </w:rPr>
      </w:pPr>
      <w:r>
        <w:rPr>
          <w:rFonts w:hint="eastAsia" w:ascii="宋体" w:hAnsi="宋体" w:cs="宋体-18030"/>
          <w:sz w:val="24"/>
        </w:rPr>
        <w:t>2</w:t>
      </w:r>
      <w:r>
        <w:rPr>
          <w:rFonts w:ascii="宋体" w:hAnsi="宋体" w:cs="宋体-18030"/>
          <w:sz w:val="24"/>
        </w:rPr>
        <w:t>.</w:t>
      </w:r>
      <w:r>
        <w:rPr>
          <w:rFonts w:hint="eastAsia" w:ascii="宋体" w:hAnsi="宋体" w:cs="宋体-18030"/>
          <w:sz w:val="24"/>
        </w:rPr>
        <w:t xml:space="preserve"> 我方已详细审核全部采购文件，包括修改文件（如有时）及有关附件。</w:t>
      </w:r>
    </w:p>
    <w:p>
      <w:pPr>
        <w:spacing w:line="440" w:lineRule="exact"/>
        <w:ind w:firstLine="720" w:firstLineChars="300"/>
        <w:rPr>
          <w:rFonts w:ascii="宋体" w:hAnsi="宋体"/>
          <w:sz w:val="24"/>
        </w:rPr>
      </w:pPr>
      <w:r>
        <w:rPr>
          <w:rFonts w:hint="eastAsia" w:ascii="宋体" w:hAnsi="宋体"/>
          <w:sz w:val="24"/>
        </w:rPr>
        <w:t>3.</w:t>
      </w:r>
      <w:r>
        <w:rPr>
          <w:rFonts w:ascii="宋体" w:hAnsi="宋体"/>
          <w:sz w:val="24"/>
        </w:rPr>
        <w:t>我方同意按</w:t>
      </w:r>
      <w:r>
        <w:rPr>
          <w:rFonts w:hint="eastAsia" w:ascii="宋体" w:hAnsi="宋体"/>
          <w:sz w:val="24"/>
        </w:rPr>
        <w:t>所提交的报价申请文件在“竞争性磋商</w:t>
      </w:r>
      <w:r>
        <w:rPr>
          <w:rFonts w:ascii="宋体" w:hAnsi="宋体"/>
          <w:sz w:val="24"/>
        </w:rPr>
        <w:t>须知</w:t>
      </w:r>
      <w:r>
        <w:rPr>
          <w:rFonts w:hint="eastAsia" w:ascii="宋体" w:hAnsi="宋体"/>
          <w:sz w:val="24"/>
        </w:rPr>
        <w:t>”</w:t>
      </w:r>
      <w:r>
        <w:rPr>
          <w:rFonts w:ascii="宋体" w:hAnsi="宋体"/>
          <w:sz w:val="24"/>
        </w:rPr>
        <w:t>规定</w:t>
      </w:r>
      <w:r>
        <w:rPr>
          <w:rFonts w:hint="eastAsia" w:ascii="宋体" w:hAnsi="宋体"/>
          <w:sz w:val="24"/>
        </w:rPr>
        <w:t>的有效期内有效，</w:t>
      </w:r>
      <w:r>
        <w:rPr>
          <w:rFonts w:ascii="宋体" w:hAnsi="宋体"/>
          <w:sz w:val="24"/>
        </w:rPr>
        <w:t>在此期间</w:t>
      </w:r>
      <w:r>
        <w:rPr>
          <w:rFonts w:hint="eastAsia" w:ascii="宋体" w:hAnsi="宋体"/>
          <w:sz w:val="24"/>
        </w:rPr>
        <w:t>内如果成交</w:t>
      </w:r>
      <w:r>
        <w:rPr>
          <w:rFonts w:ascii="宋体" w:hAnsi="宋体"/>
          <w:sz w:val="24"/>
        </w:rPr>
        <w:t>，我方将受此约束。</w:t>
      </w:r>
    </w:p>
    <w:p>
      <w:pPr>
        <w:spacing w:line="440" w:lineRule="exact"/>
        <w:ind w:firstLine="720" w:firstLineChars="300"/>
        <w:rPr>
          <w:rFonts w:ascii="宋体" w:hAnsi="宋体" w:cs="宋体-18030"/>
          <w:sz w:val="24"/>
        </w:rPr>
      </w:pPr>
      <w:r>
        <w:rPr>
          <w:rFonts w:hint="eastAsia" w:ascii="宋体" w:hAnsi="宋体" w:cs="宋体-18030"/>
          <w:sz w:val="24"/>
        </w:rPr>
        <w:t>4．除非另外达成协议并生效，你方的成交通知书和本申请书构成约束我们双方的合同部分。</w:t>
      </w:r>
    </w:p>
    <w:p>
      <w:pPr>
        <w:spacing w:line="440" w:lineRule="exact"/>
        <w:ind w:firstLine="720" w:firstLineChars="300"/>
        <w:rPr>
          <w:rFonts w:ascii="宋体" w:hAnsi="宋体" w:cs="宋体-18030"/>
          <w:sz w:val="24"/>
        </w:rPr>
      </w:pPr>
      <w:r>
        <w:rPr>
          <w:rFonts w:hint="eastAsia" w:ascii="宋体" w:hAnsi="宋体" w:cs="宋体-18030"/>
          <w:sz w:val="24"/>
        </w:rPr>
        <w:t>5．我方磋商报价保证金为人民币</w:t>
      </w:r>
      <w:r>
        <w:rPr>
          <w:rFonts w:hint="eastAsia" w:ascii="宋体" w:hAnsi="宋体" w:cs="宋体-18030"/>
          <w:sz w:val="24"/>
          <w:u w:val="single"/>
        </w:rPr>
        <w:t xml:space="preserve">        </w:t>
      </w:r>
      <w:r>
        <w:rPr>
          <w:rFonts w:hint="eastAsia" w:ascii="宋体" w:hAnsi="宋体" w:cs="宋体-18030"/>
          <w:sz w:val="24"/>
        </w:rPr>
        <w:t>元。</w:t>
      </w:r>
    </w:p>
    <w:p>
      <w:pPr>
        <w:spacing w:line="440" w:lineRule="exact"/>
        <w:ind w:firstLine="720" w:firstLineChars="300"/>
        <w:rPr>
          <w:rFonts w:ascii="宋体" w:hAnsi="宋体" w:cs="宋体-18030"/>
          <w:sz w:val="24"/>
        </w:rPr>
      </w:pPr>
      <w:r>
        <w:rPr>
          <w:rFonts w:hint="eastAsia" w:ascii="宋体" w:hAnsi="宋体" w:cs="宋体-18030"/>
          <w:sz w:val="24"/>
        </w:rPr>
        <w:t>6．我方承诺：申请文件中所提供的全部材料真实、可靠，如有虚假，我方愿意承担相关经济及法律责任。</w:t>
      </w:r>
    </w:p>
    <w:p>
      <w:pPr>
        <w:spacing w:line="440" w:lineRule="exact"/>
        <w:ind w:firstLine="720" w:firstLineChars="300"/>
        <w:rPr>
          <w:rFonts w:ascii="宋体" w:hAnsi="宋体" w:cs="宋体-18030"/>
          <w:sz w:val="24"/>
          <w:u w:val="single"/>
        </w:rPr>
      </w:pPr>
      <w:r>
        <w:rPr>
          <w:rFonts w:hint="eastAsia" w:ascii="宋体" w:hAnsi="宋体" w:cs="宋体-18030"/>
          <w:sz w:val="24"/>
        </w:rPr>
        <w:t>7.</w:t>
      </w:r>
      <w:r>
        <w:rPr>
          <w:rFonts w:hint="eastAsia" w:ascii="宋体" w:hAnsi="宋体"/>
          <w:spacing w:val="-4"/>
          <w:sz w:val="24"/>
        </w:rPr>
        <w:t>投标有效期为自开标之日起</w:t>
      </w:r>
      <w:r>
        <w:rPr>
          <w:rFonts w:hint="eastAsia" w:ascii="宋体" w:hAnsi="宋体"/>
          <w:spacing w:val="-4"/>
          <w:sz w:val="24"/>
          <w:u w:val="single"/>
        </w:rPr>
        <w:t xml:space="preserve">    </w:t>
      </w:r>
      <w:r>
        <w:rPr>
          <w:rFonts w:hint="eastAsia" w:ascii="宋体" w:hAnsi="宋体"/>
          <w:spacing w:val="-4"/>
          <w:sz w:val="24"/>
        </w:rPr>
        <w:t>天，如在投标有效期内撤回投标，我方同意被废除投标资格和没收投标保证金。</w:t>
      </w:r>
      <w:r>
        <w:rPr>
          <w:rFonts w:hint="eastAsia" w:ascii="宋体" w:hAnsi="宋体" w:cs="宋体-18030"/>
          <w:sz w:val="24"/>
          <w:u w:val="single"/>
        </w:rPr>
        <w:t xml:space="preserve">                     </w:t>
      </w:r>
    </w:p>
    <w:p>
      <w:pPr>
        <w:spacing w:line="440" w:lineRule="exact"/>
        <w:rPr>
          <w:rFonts w:ascii="宋体" w:hAnsi="宋体" w:cs="宋体-18030"/>
          <w:sz w:val="24"/>
        </w:rPr>
      </w:pPr>
    </w:p>
    <w:p>
      <w:pPr>
        <w:spacing w:line="440" w:lineRule="exact"/>
        <w:ind w:firstLine="480" w:firstLineChars="200"/>
        <w:rPr>
          <w:rFonts w:ascii="宋体" w:hAnsi="宋体" w:cs="宋体-18030"/>
          <w:sz w:val="24"/>
        </w:rPr>
      </w:pPr>
      <w:r>
        <w:rPr>
          <w:rFonts w:hint="eastAsia" w:ascii="宋体" w:hAnsi="宋体" w:cs="宋体-18030"/>
          <w:sz w:val="24"/>
        </w:rPr>
        <w:t>报价申请人：</w:t>
      </w:r>
      <w:r>
        <w:rPr>
          <w:rFonts w:hint="eastAsia" w:ascii="宋体" w:hAnsi="宋体" w:cs="宋体-18030"/>
          <w:sz w:val="24"/>
          <w:u w:val="single"/>
        </w:rPr>
        <w:t xml:space="preserve">                             </w:t>
      </w:r>
      <w:r>
        <w:rPr>
          <w:rFonts w:hint="eastAsia" w:ascii="宋体" w:hAnsi="宋体" w:cs="宋体-18030"/>
          <w:sz w:val="24"/>
        </w:rPr>
        <w:t>（盖章）</w:t>
      </w:r>
    </w:p>
    <w:p>
      <w:pPr>
        <w:spacing w:line="440" w:lineRule="exact"/>
        <w:ind w:firstLine="480" w:firstLineChars="200"/>
        <w:rPr>
          <w:rFonts w:ascii="宋体" w:hAnsi="宋体" w:cs="宋体-18030"/>
          <w:sz w:val="24"/>
        </w:rPr>
      </w:pPr>
      <w:r>
        <w:rPr>
          <w:rFonts w:hint="eastAsia" w:ascii="宋体" w:hAnsi="宋体" w:cs="宋体-18030"/>
          <w:sz w:val="24"/>
        </w:rPr>
        <w:t>法定代表人</w:t>
      </w:r>
      <w:r>
        <w:rPr>
          <w:rFonts w:hint="eastAsia" w:ascii="宋体" w:hAnsi="宋体"/>
          <w:color w:val="000000"/>
          <w:sz w:val="24"/>
        </w:rPr>
        <w:t>或委托代理人</w:t>
      </w:r>
      <w:r>
        <w:rPr>
          <w:rFonts w:hint="eastAsia" w:ascii="宋体" w:hAnsi="宋体" w:cs="宋体-18030"/>
          <w:sz w:val="24"/>
        </w:rPr>
        <w:t>：</w:t>
      </w:r>
      <w:r>
        <w:rPr>
          <w:rFonts w:hint="eastAsia" w:ascii="宋体" w:hAnsi="宋体" w:cs="宋体-18030"/>
          <w:sz w:val="24"/>
          <w:u w:val="single"/>
        </w:rPr>
        <w:t xml:space="preserve">                            </w:t>
      </w:r>
      <w:r>
        <w:rPr>
          <w:rFonts w:hint="eastAsia" w:ascii="宋体" w:hAnsi="宋体" w:cs="宋体-18030"/>
          <w:sz w:val="24"/>
        </w:rPr>
        <w:t>（签字或盖章）</w:t>
      </w:r>
    </w:p>
    <w:p>
      <w:pPr>
        <w:spacing w:line="440" w:lineRule="exact"/>
        <w:ind w:firstLine="480" w:firstLineChars="200"/>
        <w:rPr>
          <w:rFonts w:ascii="宋体" w:hAnsi="宋体" w:cs="宋体-18030"/>
          <w:sz w:val="24"/>
        </w:rPr>
      </w:pPr>
      <w:r>
        <w:rPr>
          <w:rFonts w:hint="eastAsia" w:ascii="宋体" w:hAnsi="宋体" w:cs="宋体-18030"/>
          <w:sz w:val="24"/>
        </w:rPr>
        <w:t>地址：（包括电话、传真、邮编）</w:t>
      </w:r>
    </w:p>
    <w:p>
      <w:pPr>
        <w:spacing w:line="440" w:lineRule="exact"/>
        <w:ind w:firstLine="480" w:firstLineChars="200"/>
        <w:rPr>
          <w:rFonts w:ascii="宋体" w:hAnsi="宋体" w:cs="宋体-18030"/>
          <w:sz w:val="24"/>
        </w:rPr>
      </w:pPr>
      <w:r>
        <w:rPr>
          <w:rFonts w:hint="eastAsia" w:ascii="宋体" w:hAnsi="宋体" w:cs="宋体-18030"/>
          <w:sz w:val="24"/>
        </w:rPr>
        <w:t>银行帐号：（包括开户行地址、电话、传真、邮编）</w:t>
      </w:r>
    </w:p>
    <w:p>
      <w:pPr>
        <w:spacing w:line="440" w:lineRule="exact"/>
        <w:ind w:firstLine="480" w:firstLineChars="200"/>
        <w:rPr>
          <w:rFonts w:ascii="宋体" w:hAnsi="宋体" w:cs="宋体-18030"/>
          <w:sz w:val="24"/>
        </w:rPr>
      </w:pPr>
      <w:r>
        <w:rPr>
          <w:rFonts w:hint="eastAsia" w:ascii="宋体" w:hAnsi="宋体"/>
          <w:color w:val="000000"/>
          <w:sz w:val="24"/>
        </w:rPr>
        <w:t>日期：</w:t>
      </w:r>
      <w:r>
        <w:rPr>
          <w:szCs w:val="21"/>
        </w:rPr>
        <w:br w:type="page"/>
      </w:r>
      <w:bookmarkStart w:id="70" w:name="_Toc144974860"/>
      <w:bookmarkStart w:id="71" w:name="_Toc247527831"/>
      <w:bookmarkStart w:id="72" w:name="_Toc152045791"/>
      <w:bookmarkStart w:id="73" w:name="_Toc247514283"/>
      <w:bookmarkStart w:id="74" w:name="_Toc300835213"/>
      <w:bookmarkStart w:id="75" w:name="_Toc152042580"/>
      <w:r>
        <w:rPr>
          <w:rFonts w:hint="eastAsia"/>
          <w:szCs w:val="21"/>
        </w:rPr>
        <w:t xml:space="preserve">                         </w:t>
      </w:r>
      <w:r>
        <w:rPr>
          <w:rFonts w:ascii="宋体" w:hAnsi="宋体"/>
          <w:b/>
          <w:sz w:val="32"/>
          <w:szCs w:val="32"/>
        </w:rPr>
        <w:t>二、法定代表人身份证明</w:t>
      </w:r>
      <w:bookmarkEnd w:id="70"/>
      <w:bookmarkEnd w:id="71"/>
      <w:bookmarkEnd w:id="72"/>
      <w:bookmarkEnd w:id="73"/>
      <w:bookmarkEnd w:id="74"/>
      <w:bookmarkEnd w:id="75"/>
      <w:r>
        <w:rPr>
          <w:rFonts w:hint="eastAsia" w:ascii="宋体" w:hAnsi="宋体"/>
          <w:b/>
          <w:sz w:val="32"/>
          <w:szCs w:val="32"/>
        </w:rPr>
        <w:t>书</w:t>
      </w:r>
    </w:p>
    <w:p>
      <w:pPr>
        <w:rPr>
          <w:rFonts w:ascii="宋体" w:hAnsi="宋体"/>
          <w:color w:val="000000"/>
          <w:sz w:val="24"/>
        </w:rPr>
      </w:pPr>
      <w:r>
        <w:rPr>
          <w:rFonts w:hint="eastAsia" w:ascii="宋体" w:hAnsi="宋体"/>
          <w:color w:val="000000"/>
          <w:sz w:val="24"/>
        </w:rPr>
        <w:t>申请</w:t>
      </w:r>
      <w:r>
        <w:rPr>
          <w:rFonts w:ascii="宋体" w:hAnsi="宋体"/>
          <w:color w:val="000000"/>
          <w:sz w:val="24"/>
        </w:rPr>
        <w:t>人名称：</w:t>
      </w:r>
      <w:r>
        <w:rPr>
          <w:rFonts w:ascii="宋体" w:hAnsi="宋体"/>
          <w:color w:val="000000"/>
          <w:sz w:val="24"/>
          <w:u w:val="single"/>
        </w:rPr>
        <w:t xml:space="preserve">                            </w:t>
      </w:r>
      <w:r>
        <w:rPr>
          <w:rFonts w:ascii="宋体" w:hAnsi="宋体"/>
          <w:color w:val="000000"/>
          <w:sz w:val="24"/>
        </w:rPr>
        <w:t xml:space="preserve"> </w:t>
      </w:r>
    </w:p>
    <w:p>
      <w:pPr>
        <w:rPr>
          <w:rFonts w:ascii="宋体" w:hAnsi="宋体"/>
          <w:color w:val="000000"/>
          <w:sz w:val="24"/>
        </w:rPr>
      </w:pPr>
      <w:r>
        <w:rPr>
          <w:rFonts w:ascii="宋体" w:hAnsi="宋体"/>
          <w:color w:val="000000"/>
          <w:sz w:val="24"/>
        </w:rPr>
        <w:t>单位性质：</w:t>
      </w:r>
      <w:r>
        <w:rPr>
          <w:rFonts w:ascii="宋体" w:hAnsi="宋体"/>
          <w:color w:val="000000"/>
          <w:sz w:val="24"/>
          <w:u w:val="single"/>
        </w:rPr>
        <w:t xml:space="preserve">                               </w:t>
      </w:r>
      <w:r>
        <w:rPr>
          <w:rFonts w:ascii="宋体" w:hAnsi="宋体"/>
          <w:color w:val="000000"/>
          <w:sz w:val="24"/>
        </w:rPr>
        <w:t xml:space="preserve"> </w:t>
      </w:r>
    </w:p>
    <w:p>
      <w:pPr>
        <w:rPr>
          <w:rFonts w:ascii="宋体" w:hAnsi="宋体"/>
          <w:color w:val="000000"/>
          <w:sz w:val="24"/>
        </w:rPr>
      </w:pPr>
      <w:r>
        <w:rPr>
          <w:rFonts w:ascii="宋体" w:hAnsi="宋体"/>
          <w:color w:val="000000"/>
          <w:sz w:val="24"/>
        </w:rPr>
        <w:t>地址：</w:t>
      </w:r>
      <w:r>
        <w:rPr>
          <w:rFonts w:ascii="宋体" w:hAnsi="宋体"/>
          <w:color w:val="000000"/>
          <w:sz w:val="24"/>
          <w:u w:val="single"/>
        </w:rPr>
        <w:t xml:space="preserve">                                   </w:t>
      </w:r>
    </w:p>
    <w:p>
      <w:pPr>
        <w:rPr>
          <w:rFonts w:ascii="宋体" w:hAnsi="宋体"/>
          <w:color w:val="000000"/>
          <w:sz w:val="24"/>
        </w:rPr>
      </w:pPr>
      <w:r>
        <w:rPr>
          <w:rFonts w:ascii="宋体" w:hAnsi="宋体"/>
          <w:color w:val="000000"/>
          <w:sz w:val="24"/>
        </w:rPr>
        <w:t>成立时间：</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w:t>
      </w:r>
    </w:p>
    <w:p>
      <w:pPr>
        <w:rPr>
          <w:rFonts w:ascii="宋体" w:hAnsi="宋体"/>
          <w:color w:val="000000"/>
          <w:sz w:val="24"/>
        </w:rPr>
      </w:pPr>
      <w:r>
        <w:rPr>
          <w:rFonts w:ascii="宋体" w:hAnsi="宋体"/>
          <w:color w:val="000000"/>
          <w:sz w:val="24"/>
        </w:rPr>
        <w:t>经营期限：</w:t>
      </w:r>
      <w:r>
        <w:rPr>
          <w:rFonts w:ascii="宋体" w:hAnsi="宋体"/>
          <w:color w:val="000000"/>
          <w:sz w:val="24"/>
          <w:u w:val="single"/>
        </w:rPr>
        <w:t xml:space="preserve">                               </w:t>
      </w:r>
    </w:p>
    <w:p>
      <w:pPr>
        <w:rPr>
          <w:rFonts w:ascii="宋体" w:hAnsi="宋体"/>
          <w:color w:val="000000"/>
          <w:sz w:val="24"/>
        </w:rPr>
      </w:pPr>
      <w:r>
        <w:rPr>
          <w:rFonts w:ascii="宋体" w:hAnsi="宋体"/>
          <w:color w:val="000000"/>
          <w:sz w:val="24"/>
        </w:rPr>
        <w:t>姓名：</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ascii="宋体" w:hAnsi="宋体"/>
          <w:color w:val="000000"/>
          <w:sz w:val="24"/>
        </w:rPr>
        <w:t xml:space="preserve"> 年龄：</w:t>
      </w:r>
      <w:r>
        <w:rPr>
          <w:rFonts w:ascii="宋体" w:hAnsi="宋体"/>
          <w:color w:val="000000"/>
          <w:sz w:val="24"/>
          <w:u w:val="single"/>
        </w:rPr>
        <w:t xml:space="preserve">        </w:t>
      </w:r>
      <w:r>
        <w:rPr>
          <w:rFonts w:ascii="宋体" w:hAnsi="宋体"/>
          <w:color w:val="000000"/>
          <w:sz w:val="24"/>
        </w:rPr>
        <w:t>职务：</w:t>
      </w:r>
      <w:r>
        <w:rPr>
          <w:rFonts w:ascii="宋体" w:hAnsi="宋体"/>
          <w:color w:val="000000"/>
          <w:sz w:val="24"/>
          <w:u w:val="single"/>
        </w:rPr>
        <w:t xml:space="preserve">        </w:t>
      </w:r>
    </w:p>
    <w:p>
      <w:pPr>
        <w:rPr>
          <w:rFonts w:ascii="宋体" w:hAnsi="宋体"/>
          <w:color w:val="000000"/>
          <w:sz w:val="24"/>
        </w:rPr>
      </w:pPr>
      <w:r>
        <w:rPr>
          <w:rFonts w:ascii="宋体" w:hAnsi="宋体"/>
          <w:color w:val="000000"/>
          <w:sz w:val="24"/>
        </w:rPr>
        <w:t>系</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w:t>
      </w:r>
      <w:r>
        <w:rPr>
          <w:rFonts w:ascii="宋体" w:hAnsi="宋体"/>
          <w:color w:val="000000"/>
          <w:sz w:val="24"/>
        </w:rPr>
        <w:t>申请人名称</w:t>
      </w:r>
      <w:r>
        <w:rPr>
          <w:rFonts w:hint="eastAsia" w:ascii="宋体" w:hAnsi="宋体"/>
          <w:color w:val="000000"/>
          <w:sz w:val="24"/>
        </w:rPr>
        <w:t>）</w:t>
      </w:r>
      <w:r>
        <w:rPr>
          <w:rFonts w:ascii="宋体" w:hAnsi="宋体"/>
          <w:color w:val="000000"/>
          <w:sz w:val="24"/>
        </w:rPr>
        <w:t>的法定代表人。</w:t>
      </w:r>
    </w:p>
    <w:p>
      <w:pPr>
        <w:ind w:firstLine="480" w:firstLineChars="200"/>
        <w:rPr>
          <w:rFonts w:ascii="宋体" w:hAnsi="宋体"/>
          <w:color w:val="000000"/>
          <w:sz w:val="24"/>
        </w:rPr>
      </w:pPr>
      <w:r>
        <w:rPr>
          <w:rFonts w:ascii="宋体" w:hAnsi="宋体"/>
          <w:color w:val="000000"/>
          <w:sz w:val="24"/>
        </w:rPr>
        <w:t>特此证明。</w:t>
      </w: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r>
        <w:rPr>
          <w:rFonts w:hint="eastAsia" w:ascii="宋体" w:hAnsi="宋体"/>
          <w:color w:val="000000"/>
          <w:sz w:val="24"/>
        </w:rPr>
        <w:t>附法定代表人身份证复印件。</w:t>
      </w: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r>
        <w:rPr>
          <w:rFonts w:ascii="宋体" w:hAnsi="宋体"/>
          <w:color w:val="000000"/>
          <w:sz w:val="24"/>
        </w:rPr>
        <w:t xml:space="preserve">                          </w:t>
      </w:r>
      <w:r>
        <w:rPr>
          <w:rFonts w:hint="eastAsia" w:ascii="宋体" w:hAnsi="宋体"/>
          <w:color w:val="000000"/>
          <w:sz w:val="24"/>
        </w:rPr>
        <w:t>报价</w:t>
      </w:r>
      <w:r>
        <w:rPr>
          <w:rFonts w:ascii="宋体" w:hAnsi="宋体"/>
          <w:color w:val="000000"/>
          <w:sz w:val="24"/>
        </w:rPr>
        <w:t>申请人：</w:t>
      </w:r>
      <w:r>
        <w:rPr>
          <w:rFonts w:ascii="宋体" w:hAnsi="宋体"/>
          <w:color w:val="000000"/>
          <w:sz w:val="24"/>
          <w:u w:val="single"/>
        </w:rPr>
        <w:t xml:space="preserve">                 </w:t>
      </w:r>
      <w:r>
        <w:rPr>
          <w:rFonts w:ascii="宋体" w:hAnsi="宋体"/>
          <w:color w:val="000000"/>
          <w:sz w:val="24"/>
        </w:rPr>
        <w:t>（盖单位章）</w:t>
      </w:r>
    </w:p>
    <w:p>
      <w:pPr>
        <w:rPr>
          <w:rFonts w:ascii="宋体" w:hAnsi="宋体"/>
          <w:color w:val="000000"/>
          <w:sz w:val="24"/>
        </w:rPr>
      </w:pPr>
      <w:r>
        <w:rPr>
          <w:rFonts w:ascii="宋体" w:hAnsi="宋体"/>
          <w:color w:val="000000"/>
          <w:sz w:val="24"/>
        </w:rPr>
        <w:t xml:space="preserve">                          </w:t>
      </w:r>
      <w:r>
        <w:rPr>
          <w:rFonts w:hint="eastAsia" w:ascii="宋体" w:hAnsi="宋体"/>
          <w:color w:val="000000"/>
          <w:sz w:val="24"/>
        </w:rPr>
        <w:t>日期：</w:t>
      </w:r>
      <w:r>
        <w:rPr>
          <w:rFonts w:ascii="宋体" w:hAnsi="宋体"/>
          <w:color w:val="000000"/>
          <w:sz w:val="24"/>
        </w:rPr>
        <w:t xml:space="preserve">           </w:t>
      </w:r>
    </w:p>
    <w:p>
      <w:pPr>
        <w:jc w:val="center"/>
        <w:rPr>
          <w:rFonts w:ascii="宋体" w:hAnsi="宋体"/>
          <w:sz w:val="32"/>
          <w:szCs w:val="32"/>
        </w:rPr>
      </w:pPr>
      <w:r>
        <w:rPr>
          <w:rFonts w:hAnsi="宋体"/>
          <w:sz w:val="24"/>
        </w:rPr>
        <w:br w:type="page"/>
      </w:r>
      <w:bookmarkStart w:id="76" w:name="_Toc152045792"/>
      <w:bookmarkStart w:id="77" w:name="_Toc247514284"/>
      <w:bookmarkStart w:id="78" w:name="_Toc247527832"/>
      <w:bookmarkStart w:id="79" w:name="_Toc300835214"/>
      <w:bookmarkStart w:id="80" w:name="_Toc144974861"/>
      <w:bookmarkStart w:id="81" w:name="_Toc152042581"/>
      <w:r>
        <w:rPr>
          <w:rFonts w:hint="eastAsia" w:ascii="宋体" w:hAnsi="宋体"/>
          <w:b/>
          <w:sz w:val="32"/>
          <w:szCs w:val="32"/>
        </w:rPr>
        <w:t>三</w:t>
      </w:r>
      <w:r>
        <w:rPr>
          <w:rFonts w:ascii="宋体" w:hAnsi="宋体"/>
          <w:b/>
          <w:sz w:val="32"/>
          <w:szCs w:val="32"/>
        </w:rPr>
        <w:t>、授权委托书</w:t>
      </w:r>
      <w:bookmarkEnd w:id="76"/>
      <w:bookmarkEnd w:id="77"/>
      <w:bookmarkEnd w:id="78"/>
      <w:bookmarkEnd w:id="79"/>
      <w:bookmarkEnd w:id="80"/>
      <w:bookmarkEnd w:id="81"/>
    </w:p>
    <w:p>
      <w:pPr>
        <w:rPr>
          <w:rFonts w:ascii="宋体" w:hAnsi="宋体"/>
          <w:color w:val="000000"/>
          <w:sz w:val="24"/>
        </w:rPr>
      </w:pPr>
    </w:p>
    <w:p>
      <w:pPr>
        <w:topLinePunct/>
        <w:ind w:firstLine="480" w:firstLineChars="200"/>
        <w:rPr>
          <w:rFonts w:ascii="宋体" w:hAnsi="宋体"/>
          <w:color w:val="000000"/>
          <w:sz w:val="24"/>
        </w:rPr>
      </w:pPr>
      <w:r>
        <w:rPr>
          <w:rFonts w:ascii="宋体" w:hAnsi="宋体"/>
          <w:color w:val="000000"/>
          <w:sz w:val="24"/>
        </w:rPr>
        <w:t>本人</w:t>
      </w:r>
      <w:r>
        <w:rPr>
          <w:rFonts w:ascii="宋体" w:hAnsi="宋体"/>
          <w:color w:val="000000"/>
          <w:sz w:val="24"/>
          <w:u w:val="single"/>
        </w:rPr>
        <w:t xml:space="preserve">       </w:t>
      </w:r>
      <w:r>
        <w:rPr>
          <w:rFonts w:ascii="宋体" w:hAnsi="宋体"/>
          <w:color w:val="000000"/>
          <w:sz w:val="24"/>
        </w:rPr>
        <w:t>（姓名）系</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报价</w:t>
      </w:r>
      <w:r>
        <w:rPr>
          <w:rFonts w:ascii="宋体" w:hAnsi="宋体"/>
          <w:color w:val="000000"/>
          <w:sz w:val="24"/>
        </w:rPr>
        <w:t>申请人名称）的法定代表人，现委托</w:t>
      </w:r>
      <w:r>
        <w:rPr>
          <w:rFonts w:ascii="宋体" w:hAnsi="宋体"/>
          <w:color w:val="000000"/>
          <w:sz w:val="24"/>
          <w:u w:val="single"/>
        </w:rPr>
        <w:t xml:space="preserve">        </w:t>
      </w:r>
      <w:r>
        <w:rPr>
          <w:rFonts w:ascii="宋体" w:hAnsi="宋体"/>
          <w:color w:val="000000"/>
          <w:sz w:val="24"/>
        </w:rPr>
        <w:t>（姓名）为我方代理人。代理人根据授权，以我方名义签署、澄清</w:t>
      </w:r>
      <w:r>
        <w:rPr>
          <w:rFonts w:hint="eastAsia" w:ascii="宋体" w:hAnsi="宋体"/>
          <w:color w:val="000000"/>
          <w:sz w:val="24"/>
        </w:rPr>
        <w:t>、说明、补正</w:t>
      </w:r>
      <w:r>
        <w:rPr>
          <w:rFonts w:ascii="宋体" w:hAnsi="宋体"/>
          <w:color w:val="000000"/>
          <w:sz w:val="24"/>
        </w:rPr>
        <w:t>、递交、撤回、修改</w:t>
      </w:r>
      <w:r>
        <w:rPr>
          <w:rFonts w:ascii="宋体" w:hAnsi="宋体"/>
          <w:color w:val="000000"/>
          <w:sz w:val="24"/>
          <w:u w:val="single"/>
        </w:rPr>
        <w:t xml:space="preserve">           </w:t>
      </w:r>
      <w:r>
        <w:rPr>
          <w:rFonts w:ascii="宋体" w:hAnsi="宋体"/>
          <w:color w:val="000000"/>
          <w:sz w:val="24"/>
        </w:rPr>
        <w:t>（项目名称）</w:t>
      </w:r>
      <w:r>
        <w:rPr>
          <w:rFonts w:hint="eastAsia" w:ascii="宋体" w:hAnsi="宋体"/>
          <w:color w:val="000000"/>
          <w:sz w:val="24"/>
        </w:rPr>
        <w:t>报价</w:t>
      </w:r>
      <w:r>
        <w:rPr>
          <w:rFonts w:ascii="宋体" w:hAnsi="宋体"/>
          <w:color w:val="000000"/>
          <w:sz w:val="24"/>
        </w:rPr>
        <w:t>申请文件、签订合同和处理有关事宜，其法律后果由我方承担。</w:t>
      </w:r>
    </w:p>
    <w:p>
      <w:pPr>
        <w:rPr>
          <w:rFonts w:ascii="宋体" w:hAnsi="宋体"/>
          <w:color w:val="000000"/>
          <w:sz w:val="24"/>
        </w:rPr>
      </w:pPr>
      <w:r>
        <w:rPr>
          <w:rFonts w:ascii="宋体" w:hAnsi="宋体"/>
          <w:color w:val="000000"/>
          <w:sz w:val="24"/>
        </w:rPr>
        <w:t xml:space="preserve">    委托期限：</w:t>
      </w:r>
      <w:r>
        <w:rPr>
          <w:rFonts w:ascii="宋体" w:hAnsi="宋体"/>
          <w:color w:val="000000"/>
          <w:sz w:val="24"/>
          <w:u w:val="single"/>
        </w:rPr>
        <w:t xml:space="preserve">             </w:t>
      </w:r>
      <w:r>
        <w:rPr>
          <w:rFonts w:hint="eastAsia" w:ascii="宋体" w:hAnsi="宋体"/>
          <w:color w:val="000000"/>
          <w:sz w:val="24"/>
        </w:rPr>
        <w:t>。</w:t>
      </w:r>
    </w:p>
    <w:p>
      <w:pPr>
        <w:ind w:firstLine="480" w:firstLineChars="200"/>
        <w:rPr>
          <w:rFonts w:ascii="宋体" w:hAnsi="宋体"/>
          <w:color w:val="000000"/>
          <w:sz w:val="24"/>
        </w:rPr>
      </w:pPr>
      <w:r>
        <w:rPr>
          <w:rFonts w:ascii="宋体" w:hAnsi="宋体"/>
          <w:color w:val="000000"/>
          <w:sz w:val="24"/>
        </w:rPr>
        <w:t>代理人无转委托权。</w:t>
      </w: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r>
        <w:rPr>
          <w:rFonts w:hint="eastAsia" w:ascii="宋体" w:hAnsi="宋体"/>
          <w:color w:val="000000"/>
          <w:sz w:val="24"/>
        </w:rPr>
        <w:t>报价</w:t>
      </w:r>
      <w:r>
        <w:rPr>
          <w:rFonts w:ascii="宋体" w:hAnsi="宋体"/>
          <w:color w:val="000000"/>
          <w:sz w:val="24"/>
        </w:rPr>
        <w:t>申请人：</w:t>
      </w:r>
      <w:r>
        <w:rPr>
          <w:rFonts w:ascii="宋体" w:hAnsi="宋体"/>
          <w:color w:val="000000"/>
          <w:sz w:val="24"/>
          <w:u w:val="single"/>
        </w:rPr>
        <w:t xml:space="preserve">                               </w:t>
      </w:r>
      <w:r>
        <w:rPr>
          <w:rFonts w:ascii="宋体" w:hAnsi="宋体"/>
          <w:color w:val="000000"/>
          <w:sz w:val="24"/>
        </w:rPr>
        <w:t>（盖单位章）</w:t>
      </w:r>
    </w:p>
    <w:p>
      <w:pPr>
        <w:rPr>
          <w:rFonts w:ascii="宋体" w:hAnsi="宋体"/>
          <w:color w:val="000000"/>
          <w:sz w:val="24"/>
        </w:rPr>
      </w:pPr>
    </w:p>
    <w:p>
      <w:pPr>
        <w:rPr>
          <w:rFonts w:ascii="宋体" w:hAnsi="宋体"/>
          <w:color w:val="000000"/>
          <w:sz w:val="24"/>
        </w:rPr>
      </w:pPr>
      <w:r>
        <w:rPr>
          <w:rFonts w:ascii="宋体" w:hAnsi="宋体"/>
          <w:color w:val="000000"/>
          <w:sz w:val="24"/>
        </w:rPr>
        <w:t>法定代表人：</w:t>
      </w:r>
      <w:r>
        <w:rPr>
          <w:rFonts w:ascii="宋体" w:hAnsi="宋体"/>
          <w:color w:val="000000"/>
          <w:sz w:val="24"/>
          <w:u w:val="single"/>
        </w:rPr>
        <w:t xml:space="preserve">                               </w:t>
      </w:r>
      <w:r>
        <w:rPr>
          <w:rFonts w:ascii="宋体" w:hAnsi="宋体"/>
          <w:color w:val="000000"/>
          <w:sz w:val="24"/>
        </w:rPr>
        <w:t>（签字</w:t>
      </w:r>
      <w:r>
        <w:rPr>
          <w:rFonts w:hint="eastAsia" w:ascii="宋体" w:hAnsi="宋体"/>
          <w:color w:val="000000"/>
          <w:sz w:val="24"/>
        </w:rPr>
        <w:t>或盖章</w:t>
      </w:r>
      <w:r>
        <w:rPr>
          <w:rFonts w:ascii="宋体" w:hAnsi="宋体"/>
          <w:color w:val="000000"/>
          <w:sz w:val="24"/>
        </w:rPr>
        <w:t>）</w:t>
      </w:r>
    </w:p>
    <w:p>
      <w:pPr>
        <w:rPr>
          <w:rFonts w:ascii="宋体" w:hAnsi="宋体"/>
          <w:color w:val="000000"/>
          <w:sz w:val="24"/>
        </w:rPr>
      </w:pPr>
    </w:p>
    <w:p>
      <w:pPr>
        <w:rPr>
          <w:rFonts w:ascii="宋体" w:hAnsi="宋体"/>
          <w:color w:val="000000"/>
          <w:sz w:val="24"/>
        </w:rPr>
      </w:pPr>
      <w:r>
        <w:rPr>
          <w:rFonts w:hint="eastAsia" w:ascii="宋体" w:hAnsi="宋体"/>
          <w:color w:val="000000"/>
          <w:sz w:val="24"/>
        </w:rPr>
        <w:t>代理人：</w:t>
      </w:r>
      <w:r>
        <w:rPr>
          <w:rFonts w:ascii="宋体" w:hAnsi="宋体"/>
          <w:color w:val="000000"/>
          <w:sz w:val="24"/>
          <w:u w:val="single"/>
        </w:rPr>
        <w:t xml:space="preserve">                               </w:t>
      </w:r>
      <w:r>
        <w:rPr>
          <w:rFonts w:ascii="宋体" w:hAnsi="宋体"/>
          <w:color w:val="000000"/>
          <w:sz w:val="24"/>
        </w:rPr>
        <w:t>（签字</w:t>
      </w:r>
      <w:r>
        <w:rPr>
          <w:rFonts w:hint="eastAsia" w:ascii="宋体" w:hAnsi="宋体"/>
          <w:color w:val="000000"/>
          <w:sz w:val="24"/>
        </w:rPr>
        <w:t>或盖章</w:t>
      </w:r>
      <w:r>
        <w:rPr>
          <w:rFonts w:ascii="宋体" w:hAnsi="宋体"/>
          <w:color w:val="000000"/>
          <w:sz w:val="24"/>
        </w:rPr>
        <w:t>）</w:t>
      </w:r>
    </w:p>
    <w:p>
      <w:pPr>
        <w:rPr>
          <w:rFonts w:ascii="宋体" w:hAnsi="宋体"/>
          <w:color w:val="000000"/>
          <w:sz w:val="24"/>
        </w:rPr>
      </w:pPr>
    </w:p>
    <w:p>
      <w:pPr>
        <w:rPr>
          <w:rFonts w:ascii="宋体" w:hAnsi="宋体"/>
          <w:color w:val="000000"/>
          <w:sz w:val="24"/>
        </w:rPr>
      </w:pPr>
      <w:r>
        <w:rPr>
          <w:rFonts w:hint="eastAsia" w:ascii="宋体" w:hAnsi="宋体"/>
          <w:color w:val="000000"/>
          <w:sz w:val="24"/>
        </w:rPr>
        <w:t>日期：</w:t>
      </w:r>
    </w:p>
    <w:p>
      <w:pPr>
        <w:rPr>
          <w:rFonts w:ascii="宋体" w:hAnsi="宋体"/>
          <w:color w:val="000000"/>
          <w:sz w:val="24"/>
          <w:u w:val="single"/>
        </w:rPr>
      </w:pPr>
    </w:p>
    <w:p>
      <w:pPr>
        <w:rPr>
          <w:rFonts w:ascii="宋体" w:hAnsi="宋体"/>
          <w:color w:val="000000"/>
          <w:sz w:val="24"/>
          <w:u w:val="single"/>
        </w:rPr>
      </w:pPr>
    </w:p>
    <w:p>
      <w:pPr>
        <w:rPr>
          <w:rFonts w:ascii="宋体" w:hAnsi="宋体"/>
          <w:color w:val="000000"/>
          <w:sz w:val="24"/>
        </w:rPr>
      </w:pPr>
      <w:r>
        <w:rPr>
          <w:rFonts w:hint="eastAsia" w:ascii="宋体" w:hAnsi="宋体"/>
          <w:color w:val="000000"/>
          <w:sz w:val="24"/>
        </w:rPr>
        <w:t>附委托代理人身份证复印件。</w:t>
      </w: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ind w:firstLine="1800" w:firstLineChars="750"/>
        <w:rPr>
          <w:rFonts w:ascii="宋体" w:hAnsi="宋体"/>
          <w:color w:val="000000"/>
          <w:sz w:val="24"/>
        </w:rPr>
      </w:pPr>
    </w:p>
    <w:p>
      <w:pPr>
        <w:pStyle w:val="5"/>
        <w:spacing w:line="240" w:lineRule="auto"/>
        <w:rPr>
          <w:rFonts w:ascii="宋体"/>
          <w:bCs w:val="0"/>
          <w:color w:val="000000"/>
          <w:sz w:val="27"/>
          <w:szCs w:val="27"/>
        </w:rPr>
      </w:pPr>
      <w:r>
        <w:rPr>
          <w:sz w:val="24"/>
          <w:szCs w:val="24"/>
        </w:rPr>
        <w:br w:type="page"/>
      </w:r>
      <w:r>
        <w:rPr>
          <w:rFonts w:hint="eastAsia" w:ascii="宋体" w:eastAsia="宋体"/>
          <w:b/>
          <w:color w:val="000000"/>
        </w:rPr>
        <w:t>四</w:t>
      </w:r>
      <w:r>
        <w:rPr>
          <w:rFonts w:ascii="宋体" w:eastAsia="宋体"/>
          <w:b/>
          <w:color w:val="000000"/>
        </w:rPr>
        <w:t>、</w:t>
      </w:r>
      <w:r>
        <w:rPr>
          <w:rFonts w:hint="eastAsia" w:ascii="宋体" w:eastAsia="宋体"/>
          <w:b/>
          <w:color w:val="000000"/>
        </w:rPr>
        <w:t>竞争性磋商</w:t>
      </w:r>
      <w:r>
        <w:rPr>
          <w:rFonts w:ascii="宋体" w:eastAsia="宋体"/>
          <w:b/>
          <w:color w:val="000000"/>
        </w:rPr>
        <w:t>报价</w:t>
      </w:r>
      <w:r>
        <w:rPr>
          <w:rFonts w:hint="eastAsia" w:ascii="宋体" w:eastAsia="宋体"/>
          <w:b/>
          <w:color w:val="000000"/>
        </w:rPr>
        <w:t>申请表</w:t>
      </w:r>
    </w:p>
    <w:p>
      <w:pPr>
        <w:spacing w:line="360" w:lineRule="auto"/>
        <w:ind w:left="1183" w:hanging="1183" w:hangingChars="491"/>
        <w:rPr>
          <w:rFonts w:ascii="宋体" w:hAnsi="宋体"/>
          <w:b/>
          <w:bCs/>
          <w:kern w:val="28"/>
          <w:sz w:val="24"/>
        </w:rPr>
      </w:pPr>
      <w:r>
        <w:rPr>
          <w:rFonts w:hint="eastAsia" w:ascii="宋体" w:hAnsi="宋体"/>
          <w:b/>
          <w:bCs/>
          <w:kern w:val="28"/>
          <w:sz w:val="24"/>
        </w:rPr>
        <w:t>项目名称：</w:t>
      </w:r>
    </w:p>
    <w:p>
      <w:pPr>
        <w:spacing w:line="360" w:lineRule="auto"/>
        <w:ind w:left="1183" w:hanging="1183" w:hangingChars="491"/>
        <w:rPr>
          <w:rFonts w:ascii="宋体" w:hAnsi="宋体"/>
          <w:b/>
          <w:bCs/>
          <w:kern w:val="28"/>
          <w:sz w:val="24"/>
        </w:rPr>
      </w:pPr>
      <w:r>
        <w:rPr>
          <w:rFonts w:hint="eastAsia" w:ascii="宋体" w:hAnsi="宋体"/>
          <w:b/>
          <w:bCs/>
          <w:kern w:val="28"/>
          <w:sz w:val="24"/>
        </w:rPr>
        <w:t>招标编号：</w:t>
      </w:r>
    </w:p>
    <w:tbl>
      <w:tblPr>
        <w:tblStyle w:val="42"/>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2"/>
        <w:gridCol w:w="5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3842" w:type="dxa"/>
            <w:vAlign w:val="center"/>
          </w:tcPr>
          <w:p>
            <w:pPr>
              <w:jc w:val="center"/>
              <w:rPr>
                <w:rFonts w:ascii="宋体" w:hAnsi="宋体"/>
                <w:color w:val="000000"/>
                <w:sz w:val="24"/>
              </w:rPr>
            </w:pPr>
            <w:r>
              <w:rPr>
                <w:rFonts w:hint="eastAsia" w:ascii="宋体" w:hAnsi="宋体"/>
                <w:b/>
                <w:bCs/>
                <w:color w:val="000000"/>
                <w:sz w:val="24"/>
              </w:rPr>
              <w:t>报价申请人</w:t>
            </w:r>
          </w:p>
        </w:tc>
        <w:tc>
          <w:tcPr>
            <w:tcW w:w="5829" w:type="dxa"/>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3842" w:type="dxa"/>
            <w:vAlign w:val="center"/>
          </w:tcPr>
          <w:p>
            <w:pPr>
              <w:jc w:val="center"/>
              <w:rPr>
                <w:rFonts w:ascii="宋体" w:hAnsi="宋体"/>
                <w:color w:val="000000"/>
                <w:sz w:val="24"/>
              </w:rPr>
            </w:pPr>
            <w:r>
              <w:rPr>
                <w:rFonts w:hint="eastAsia" w:ascii="宋体" w:hAnsi="宋体"/>
                <w:color w:val="000000"/>
                <w:sz w:val="24"/>
              </w:rPr>
              <w:t>投标总报价（元）</w:t>
            </w:r>
          </w:p>
        </w:tc>
        <w:tc>
          <w:tcPr>
            <w:tcW w:w="5829" w:type="dxa"/>
            <w:vAlign w:val="center"/>
          </w:tcPr>
          <w:p>
            <w:pPr>
              <w:rPr>
                <w:rFonts w:ascii="宋体" w:hAnsi="宋体"/>
                <w:color w:val="000000"/>
                <w:sz w:val="24"/>
                <w:u w:val="single"/>
              </w:rPr>
            </w:pPr>
            <w:r>
              <w:rPr>
                <w:rFonts w:hint="eastAsia" w:ascii="宋体" w:hAnsi="宋体"/>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3842" w:type="dxa"/>
            <w:vAlign w:val="center"/>
          </w:tcPr>
          <w:p>
            <w:pPr>
              <w:jc w:val="center"/>
              <w:rPr>
                <w:rFonts w:ascii="宋体" w:hAnsi="宋体"/>
                <w:color w:val="000000"/>
                <w:sz w:val="24"/>
              </w:rPr>
            </w:pPr>
            <w:r>
              <w:rPr>
                <w:rFonts w:hint="eastAsia" w:ascii="宋体" w:hAnsi="宋体" w:cs="宋体"/>
                <w:sz w:val="24"/>
              </w:rPr>
              <w:t>合同履行期限</w:t>
            </w:r>
          </w:p>
        </w:tc>
        <w:tc>
          <w:tcPr>
            <w:tcW w:w="5829"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3842" w:type="dxa"/>
            <w:vAlign w:val="center"/>
          </w:tcPr>
          <w:p>
            <w:pPr>
              <w:jc w:val="center"/>
              <w:rPr>
                <w:rFonts w:ascii="宋体" w:hAnsi="宋体" w:cs="宋体"/>
                <w:sz w:val="24"/>
              </w:rPr>
            </w:pPr>
            <w:r>
              <w:rPr>
                <w:rFonts w:hint="eastAsia" w:ascii="宋体" w:hAnsi="宋体" w:cs="宋体"/>
                <w:sz w:val="24"/>
              </w:rPr>
              <w:t>质保期</w:t>
            </w:r>
          </w:p>
        </w:tc>
        <w:tc>
          <w:tcPr>
            <w:tcW w:w="5829"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3842" w:type="dxa"/>
            <w:vAlign w:val="center"/>
          </w:tcPr>
          <w:p>
            <w:pPr>
              <w:jc w:val="center"/>
              <w:rPr>
                <w:rFonts w:ascii="宋体" w:hAnsi="宋体"/>
                <w:color w:val="000000"/>
                <w:sz w:val="24"/>
              </w:rPr>
            </w:pPr>
            <w:r>
              <w:rPr>
                <w:rFonts w:hint="eastAsia" w:ascii="宋体" w:hAnsi="宋体"/>
                <w:color w:val="000000"/>
                <w:sz w:val="24"/>
              </w:rPr>
              <w:t>质量承诺</w:t>
            </w:r>
          </w:p>
        </w:tc>
        <w:tc>
          <w:tcPr>
            <w:tcW w:w="5829"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3842" w:type="dxa"/>
            <w:vAlign w:val="center"/>
          </w:tcPr>
          <w:p>
            <w:pPr>
              <w:jc w:val="center"/>
              <w:rPr>
                <w:rFonts w:ascii="宋体" w:hAnsi="宋体"/>
                <w:color w:val="000000"/>
                <w:sz w:val="24"/>
              </w:rPr>
            </w:pPr>
            <w:r>
              <w:rPr>
                <w:rFonts w:hint="eastAsia" w:ascii="宋体" w:hAnsi="宋体"/>
                <w:color w:val="000000"/>
                <w:sz w:val="24"/>
              </w:rPr>
              <w:t>磋商保证金（元）</w:t>
            </w:r>
          </w:p>
        </w:tc>
        <w:tc>
          <w:tcPr>
            <w:tcW w:w="5829"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3842" w:type="dxa"/>
            <w:vAlign w:val="center"/>
          </w:tcPr>
          <w:p>
            <w:pPr>
              <w:jc w:val="center"/>
              <w:rPr>
                <w:rFonts w:ascii="宋体" w:hAnsi="宋体"/>
                <w:color w:val="000000"/>
                <w:sz w:val="24"/>
              </w:rPr>
            </w:pPr>
            <w:r>
              <w:rPr>
                <w:rFonts w:hint="eastAsia" w:ascii="宋体" w:hAnsi="宋体"/>
                <w:color w:val="000000"/>
                <w:sz w:val="24"/>
              </w:rPr>
              <w:t>备注</w:t>
            </w:r>
          </w:p>
        </w:tc>
        <w:tc>
          <w:tcPr>
            <w:tcW w:w="5829"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9671" w:type="dxa"/>
            <w:gridSpan w:val="2"/>
          </w:tcPr>
          <w:p>
            <w:pPr>
              <w:spacing w:line="500" w:lineRule="exact"/>
              <w:rPr>
                <w:rFonts w:ascii="宋体" w:hAnsi="宋体"/>
                <w:color w:val="000000"/>
                <w:sz w:val="24"/>
              </w:rPr>
            </w:pPr>
          </w:p>
          <w:p>
            <w:pPr>
              <w:spacing w:line="500" w:lineRule="exact"/>
              <w:rPr>
                <w:rFonts w:ascii="宋体" w:hAnsi="宋体"/>
                <w:color w:val="000000"/>
                <w:sz w:val="24"/>
              </w:rPr>
            </w:pPr>
            <w:r>
              <w:rPr>
                <w:rFonts w:hint="eastAsia" w:ascii="宋体" w:hAnsi="宋体"/>
                <w:color w:val="000000"/>
                <w:sz w:val="24"/>
              </w:rPr>
              <w:t>报价申请人（</w:t>
            </w:r>
            <w:r>
              <w:rPr>
                <w:rFonts w:hint="eastAsia" w:ascii="宋体" w:hAnsi="宋体"/>
                <w:b/>
                <w:bCs/>
                <w:color w:val="000000"/>
                <w:sz w:val="24"/>
              </w:rPr>
              <w:t>盖章</w:t>
            </w:r>
            <w:r>
              <w:rPr>
                <w:rFonts w:hint="eastAsia" w:ascii="宋体" w:hAnsi="宋体"/>
                <w:color w:val="000000"/>
                <w:sz w:val="24"/>
              </w:rPr>
              <w:t xml:space="preserve">）：                                       </w:t>
            </w:r>
          </w:p>
          <w:p>
            <w:pPr>
              <w:spacing w:line="500" w:lineRule="exact"/>
              <w:rPr>
                <w:rFonts w:ascii="宋体" w:hAnsi="宋体"/>
                <w:color w:val="000000"/>
                <w:sz w:val="24"/>
              </w:rPr>
            </w:pPr>
          </w:p>
          <w:p>
            <w:pPr>
              <w:spacing w:line="500" w:lineRule="exact"/>
              <w:rPr>
                <w:rFonts w:ascii="宋体" w:hAnsi="宋体"/>
                <w:color w:val="000000"/>
                <w:sz w:val="24"/>
              </w:rPr>
            </w:pPr>
            <w:r>
              <w:rPr>
                <w:rFonts w:hint="eastAsia" w:ascii="宋体" w:hAnsi="宋体"/>
                <w:color w:val="000000"/>
                <w:sz w:val="24"/>
              </w:rPr>
              <w:t>法定代表人或委托代理人（</w:t>
            </w:r>
            <w:r>
              <w:rPr>
                <w:rFonts w:hint="eastAsia" w:ascii="宋体" w:hAnsi="宋体"/>
                <w:b/>
                <w:bCs/>
                <w:color w:val="000000"/>
                <w:sz w:val="24"/>
              </w:rPr>
              <w:t>签字或盖章</w:t>
            </w:r>
            <w:r>
              <w:rPr>
                <w:rFonts w:hint="eastAsia" w:ascii="宋体" w:hAnsi="宋体"/>
                <w:color w:val="000000"/>
                <w:sz w:val="24"/>
              </w:rPr>
              <w:t>）：</w:t>
            </w:r>
          </w:p>
          <w:p>
            <w:pPr>
              <w:spacing w:line="500" w:lineRule="exact"/>
              <w:rPr>
                <w:rFonts w:ascii="宋体" w:hAnsi="宋体"/>
                <w:color w:val="000000"/>
                <w:sz w:val="24"/>
              </w:rPr>
            </w:pPr>
          </w:p>
          <w:p>
            <w:pPr>
              <w:spacing w:line="500" w:lineRule="exact"/>
              <w:rPr>
                <w:rFonts w:ascii="宋体" w:hAnsi="宋体"/>
                <w:color w:val="000000"/>
                <w:sz w:val="24"/>
              </w:rPr>
            </w:pPr>
            <w:r>
              <w:rPr>
                <w:rFonts w:hint="eastAsia" w:ascii="宋体" w:hAnsi="宋体"/>
                <w:color w:val="000000"/>
                <w:sz w:val="24"/>
              </w:rPr>
              <w:t xml:space="preserve">日期：        </w:t>
            </w:r>
          </w:p>
          <w:p>
            <w:pPr>
              <w:spacing w:line="500" w:lineRule="exact"/>
              <w:rPr>
                <w:rFonts w:ascii="宋体" w:hAnsi="宋体"/>
                <w:color w:val="000000"/>
                <w:sz w:val="24"/>
              </w:rPr>
            </w:pPr>
          </w:p>
        </w:tc>
      </w:tr>
    </w:tbl>
    <w:p/>
    <w:p/>
    <w:p/>
    <w:p>
      <w:pPr>
        <w:pStyle w:val="14"/>
      </w:pPr>
    </w:p>
    <w:p>
      <w:pPr>
        <w:pStyle w:val="14"/>
      </w:pPr>
    </w:p>
    <w:p/>
    <w:p>
      <w:pPr>
        <w:spacing w:line="360" w:lineRule="auto"/>
        <w:jc w:val="center"/>
        <w:rPr>
          <w:b/>
        </w:rPr>
      </w:pPr>
      <w:bookmarkStart w:id="82" w:name="_Toc282176209"/>
      <w:r>
        <w:rPr>
          <w:rFonts w:hint="eastAsia" w:ascii="宋体" w:hAnsi="宋体"/>
          <w:b/>
          <w:sz w:val="28"/>
          <w:szCs w:val="28"/>
        </w:rPr>
        <w:t>分项报价汇总</w:t>
      </w:r>
      <w:r>
        <w:rPr>
          <w:rFonts w:ascii="宋体" w:hAnsi="宋体"/>
          <w:b/>
          <w:sz w:val="28"/>
          <w:szCs w:val="28"/>
        </w:rPr>
        <w:t>表</w:t>
      </w:r>
    </w:p>
    <w:bookmarkEnd w:id="82"/>
    <w:p>
      <w:pPr>
        <w:spacing w:line="360" w:lineRule="auto"/>
        <w:ind w:left="1183" w:hanging="1183" w:hangingChars="491"/>
        <w:rPr>
          <w:rFonts w:ascii="宋体" w:hAnsi="宋体"/>
          <w:b/>
          <w:bCs/>
          <w:kern w:val="28"/>
          <w:sz w:val="24"/>
        </w:rPr>
      </w:pPr>
      <w:r>
        <w:rPr>
          <w:rFonts w:hint="eastAsia" w:ascii="宋体" w:hAnsi="宋体"/>
          <w:b/>
          <w:bCs/>
          <w:kern w:val="28"/>
          <w:sz w:val="24"/>
        </w:rPr>
        <w:t>项目名称：</w:t>
      </w:r>
    </w:p>
    <w:p>
      <w:pPr>
        <w:spacing w:line="360" w:lineRule="auto"/>
        <w:ind w:left="1183" w:hanging="1183" w:hangingChars="491"/>
        <w:rPr>
          <w:rFonts w:ascii="宋体" w:hAnsi="宋体"/>
          <w:b/>
          <w:bCs/>
          <w:kern w:val="28"/>
          <w:sz w:val="24"/>
        </w:rPr>
      </w:pPr>
      <w:r>
        <w:rPr>
          <w:rFonts w:hint="eastAsia" w:ascii="宋体" w:hAnsi="宋体"/>
          <w:b/>
          <w:bCs/>
          <w:kern w:val="28"/>
          <w:sz w:val="24"/>
        </w:rPr>
        <w:t>招标编号：</w:t>
      </w:r>
    </w:p>
    <w:tbl>
      <w:tblPr>
        <w:tblStyle w:val="42"/>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044"/>
        <w:gridCol w:w="1478"/>
        <w:gridCol w:w="1033"/>
        <w:gridCol w:w="912"/>
        <w:gridCol w:w="963"/>
        <w:gridCol w:w="937"/>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序号</w:t>
            </w:r>
          </w:p>
        </w:tc>
        <w:tc>
          <w:tcPr>
            <w:tcW w:w="2044"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r>
              <w:rPr>
                <w:rFonts w:hint="eastAsia" w:hAnsi="宋体"/>
                <w:b/>
                <w:color w:val="000000"/>
                <w:spacing w:val="-20"/>
                <w:szCs w:val="21"/>
              </w:rPr>
              <w:t>产品（项目）名称</w:t>
            </w:r>
          </w:p>
        </w:tc>
        <w:tc>
          <w:tcPr>
            <w:tcW w:w="1478"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zCs w:val="21"/>
              </w:rPr>
            </w:pPr>
            <w:r>
              <w:rPr>
                <w:rFonts w:hAnsi="宋体"/>
                <w:b/>
                <w:color w:val="000000"/>
                <w:szCs w:val="21"/>
              </w:rPr>
              <w:t>品牌</w:t>
            </w:r>
            <w:r>
              <w:rPr>
                <w:rFonts w:hint="eastAsia" w:hAnsi="宋体"/>
                <w:b/>
                <w:color w:val="000000"/>
                <w:szCs w:val="21"/>
              </w:rPr>
              <w:t>（厂家）</w:t>
            </w:r>
          </w:p>
        </w:tc>
        <w:tc>
          <w:tcPr>
            <w:tcW w:w="103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zCs w:val="21"/>
              </w:rPr>
            </w:pPr>
            <w:r>
              <w:rPr>
                <w:rFonts w:hint="eastAsia" w:hAnsi="宋体"/>
                <w:b/>
                <w:color w:val="000000"/>
                <w:szCs w:val="21"/>
              </w:rPr>
              <w:t>型号</w:t>
            </w:r>
          </w:p>
        </w:tc>
        <w:tc>
          <w:tcPr>
            <w:tcW w:w="912"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zCs w:val="21"/>
              </w:rPr>
            </w:pPr>
            <w:r>
              <w:rPr>
                <w:rFonts w:hint="eastAsia" w:hAnsi="宋体"/>
                <w:b/>
                <w:color w:val="000000"/>
                <w:szCs w:val="21"/>
              </w:rPr>
              <w:t>单位</w:t>
            </w:r>
          </w:p>
        </w:tc>
        <w:tc>
          <w:tcPr>
            <w:tcW w:w="96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zCs w:val="21"/>
              </w:rPr>
            </w:pPr>
            <w:r>
              <w:rPr>
                <w:rFonts w:hint="eastAsia" w:hAnsi="宋体"/>
                <w:b/>
                <w:color w:val="000000"/>
                <w:szCs w:val="21"/>
              </w:rPr>
              <w:t>数量</w:t>
            </w:r>
          </w:p>
        </w:tc>
        <w:tc>
          <w:tcPr>
            <w:tcW w:w="937"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zCs w:val="21"/>
              </w:rPr>
            </w:pPr>
            <w:r>
              <w:rPr>
                <w:rFonts w:hint="eastAsia" w:hAnsi="宋体"/>
                <w:b/>
                <w:color w:val="000000"/>
                <w:szCs w:val="21"/>
              </w:rPr>
              <w:t>单价（元）</w:t>
            </w:r>
          </w:p>
        </w:tc>
        <w:tc>
          <w:tcPr>
            <w:tcW w:w="1195"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zCs w:val="21"/>
              </w:rPr>
            </w:pPr>
            <w:r>
              <w:rPr>
                <w:rFonts w:hint="eastAsia" w:hAnsi="宋体"/>
                <w:b/>
                <w:color w:val="000000"/>
                <w:szCs w:val="21"/>
              </w:rPr>
              <w:t>合价</w:t>
            </w:r>
          </w:p>
          <w:p>
            <w:pPr>
              <w:pStyle w:val="23"/>
              <w:jc w:val="center"/>
              <w:rPr>
                <w:rFonts w:hAnsi="宋体"/>
                <w:b/>
                <w:color w:val="000000"/>
                <w:szCs w:val="21"/>
              </w:rPr>
            </w:pPr>
            <w:r>
              <w:rPr>
                <w:rFonts w:hint="eastAsia" w:hAnsi="宋体"/>
                <w:b/>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8"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1</w:t>
            </w:r>
          </w:p>
        </w:tc>
        <w:tc>
          <w:tcPr>
            <w:tcW w:w="2044"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478"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8"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2</w:t>
            </w:r>
          </w:p>
        </w:tc>
        <w:tc>
          <w:tcPr>
            <w:tcW w:w="2044"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478"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8"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3</w:t>
            </w:r>
          </w:p>
        </w:tc>
        <w:tc>
          <w:tcPr>
            <w:tcW w:w="2044"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478"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8"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4</w:t>
            </w:r>
          </w:p>
        </w:tc>
        <w:tc>
          <w:tcPr>
            <w:tcW w:w="2044"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478"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8"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5</w:t>
            </w:r>
          </w:p>
        </w:tc>
        <w:tc>
          <w:tcPr>
            <w:tcW w:w="2044"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478"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b/>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82" w:type="dxa"/>
            <w:gridSpan w:val="2"/>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hAnsi="宋体"/>
                <w:b/>
                <w:color w:val="000000"/>
                <w:szCs w:val="21"/>
              </w:rPr>
              <w:t>投标总报价</w:t>
            </w:r>
            <w:r>
              <w:rPr>
                <w:rFonts w:hAnsi="宋体"/>
                <w:b/>
                <w:color w:val="000000"/>
                <w:szCs w:val="21"/>
              </w:rPr>
              <w:t>（元）</w:t>
            </w:r>
          </w:p>
        </w:tc>
        <w:tc>
          <w:tcPr>
            <w:tcW w:w="6518" w:type="dxa"/>
            <w:gridSpan w:val="6"/>
            <w:tcBorders>
              <w:top w:val="single" w:color="auto" w:sz="4" w:space="0"/>
              <w:left w:val="single" w:color="auto" w:sz="4" w:space="0"/>
              <w:bottom w:val="single" w:color="auto" w:sz="4" w:space="0"/>
              <w:right w:val="single" w:color="auto" w:sz="4" w:space="0"/>
            </w:tcBorders>
            <w:vAlign w:val="center"/>
          </w:tcPr>
          <w:p>
            <w:pPr>
              <w:jc w:val="center"/>
            </w:pPr>
          </w:p>
        </w:tc>
      </w:tr>
    </w:tbl>
    <w:p>
      <w:pPr>
        <w:pStyle w:val="23"/>
        <w:spacing w:line="360" w:lineRule="auto"/>
        <w:rPr>
          <w:rFonts w:hAnsi="宋体"/>
          <w:b/>
          <w:color w:val="000000"/>
          <w:sz w:val="24"/>
          <w:szCs w:val="24"/>
        </w:rPr>
      </w:pPr>
    </w:p>
    <w:p/>
    <w:p>
      <w:pPr>
        <w:pStyle w:val="23"/>
        <w:spacing w:line="360" w:lineRule="auto"/>
        <w:rPr>
          <w:rFonts w:hAnsi="宋体"/>
          <w:b/>
          <w:color w:val="000000"/>
          <w:sz w:val="24"/>
          <w:szCs w:val="24"/>
        </w:rPr>
      </w:pPr>
      <w:r>
        <w:rPr>
          <w:rFonts w:hAnsi="宋体"/>
          <w:b/>
          <w:color w:val="000000"/>
          <w:sz w:val="24"/>
          <w:szCs w:val="24"/>
        </w:rPr>
        <w:t>报价申请人：</w:t>
      </w:r>
      <w:r>
        <w:rPr>
          <w:rFonts w:hAnsi="宋体"/>
          <w:b/>
          <w:color w:val="000000"/>
          <w:sz w:val="24"/>
          <w:szCs w:val="24"/>
          <w:u w:val="single"/>
        </w:rPr>
        <w:t xml:space="preserve">                             </w:t>
      </w:r>
      <w:r>
        <w:rPr>
          <w:rFonts w:hAnsi="宋体"/>
          <w:b/>
          <w:color w:val="000000"/>
          <w:sz w:val="24"/>
          <w:szCs w:val="24"/>
        </w:rPr>
        <w:t>（盖章）</w:t>
      </w:r>
    </w:p>
    <w:p>
      <w:pPr>
        <w:pStyle w:val="23"/>
        <w:spacing w:line="360" w:lineRule="auto"/>
        <w:rPr>
          <w:rFonts w:hAnsi="宋体"/>
          <w:b/>
          <w:color w:val="000000"/>
          <w:sz w:val="24"/>
          <w:szCs w:val="24"/>
        </w:rPr>
      </w:pPr>
      <w:r>
        <w:rPr>
          <w:rFonts w:hAnsi="宋体"/>
          <w:b/>
          <w:color w:val="000000"/>
          <w:sz w:val="24"/>
          <w:szCs w:val="24"/>
        </w:rPr>
        <w:t>法定代表人</w:t>
      </w:r>
      <w:r>
        <w:rPr>
          <w:rFonts w:hint="eastAsia" w:hAnsi="宋体"/>
          <w:b/>
          <w:color w:val="000000"/>
          <w:sz w:val="24"/>
          <w:szCs w:val="24"/>
        </w:rPr>
        <w:t>或委托代理人</w:t>
      </w:r>
      <w:r>
        <w:rPr>
          <w:rFonts w:hAnsi="宋体"/>
          <w:b/>
          <w:color w:val="000000"/>
          <w:sz w:val="24"/>
          <w:szCs w:val="24"/>
        </w:rPr>
        <w:t>：</w:t>
      </w:r>
      <w:r>
        <w:rPr>
          <w:rFonts w:hAnsi="宋体"/>
          <w:b/>
          <w:color w:val="000000"/>
          <w:sz w:val="24"/>
          <w:szCs w:val="24"/>
          <w:u w:val="single"/>
        </w:rPr>
        <w:t xml:space="preserve">         </w:t>
      </w:r>
      <w:r>
        <w:rPr>
          <w:rFonts w:hAnsi="宋体"/>
          <w:b/>
          <w:color w:val="000000"/>
          <w:sz w:val="24"/>
          <w:szCs w:val="24"/>
        </w:rPr>
        <w:t>（签字或盖章）</w:t>
      </w:r>
    </w:p>
    <w:p>
      <w:pPr>
        <w:pStyle w:val="23"/>
        <w:spacing w:line="360" w:lineRule="auto"/>
        <w:rPr>
          <w:rFonts w:hAnsi="宋体"/>
          <w:b/>
          <w:color w:val="000000"/>
          <w:sz w:val="24"/>
          <w:szCs w:val="24"/>
        </w:rPr>
      </w:pPr>
      <w:r>
        <w:rPr>
          <w:rFonts w:hAnsi="宋体"/>
          <w:b/>
          <w:color w:val="000000"/>
          <w:sz w:val="24"/>
          <w:szCs w:val="24"/>
        </w:rPr>
        <w:t xml:space="preserve">日期：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
      <w:pPr>
        <w:rPr>
          <w:b/>
          <w:sz w:val="28"/>
          <w:szCs w:val="28"/>
        </w:rPr>
      </w:pPr>
      <w:bookmarkStart w:id="83" w:name="_Toc282176229"/>
      <w:bookmarkStart w:id="84" w:name="_Toc226181572"/>
      <w:r>
        <w:rPr>
          <w:rFonts w:hint="eastAsia"/>
          <w:b/>
          <w:sz w:val="28"/>
          <w:szCs w:val="28"/>
        </w:rPr>
        <w:br w:type="page"/>
      </w:r>
    </w:p>
    <w:p>
      <w:pPr>
        <w:spacing w:line="360" w:lineRule="auto"/>
        <w:jc w:val="center"/>
        <w:outlineLvl w:val="2"/>
        <w:rPr>
          <w:rFonts w:ascii="宋体" w:hAnsi="宋体"/>
          <w:b/>
          <w:color w:val="000000"/>
          <w:sz w:val="32"/>
          <w:szCs w:val="32"/>
        </w:rPr>
      </w:pPr>
      <w:r>
        <w:rPr>
          <w:rFonts w:hint="eastAsia"/>
          <w:b/>
          <w:sz w:val="28"/>
          <w:szCs w:val="28"/>
        </w:rPr>
        <w:t>五、采购需求偏离表</w:t>
      </w:r>
    </w:p>
    <w:p>
      <w:pPr>
        <w:spacing w:line="360" w:lineRule="auto"/>
        <w:ind w:left="1183" w:hanging="1183" w:hangingChars="491"/>
        <w:rPr>
          <w:rFonts w:ascii="宋体" w:hAnsi="宋体"/>
          <w:b/>
          <w:bCs/>
          <w:kern w:val="28"/>
          <w:sz w:val="24"/>
        </w:rPr>
      </w:pPr>
      <w:r>
        <w:rPr>
          <w:rFonts w:hint="eastAsia" w:ascii="宋体" w:hAnsi="宋体"/>
          <w:b/>
          <w:bCs/>
          <w:kern w:val="28"/>
          <w:sz w:val="24"/>
        </w:rPr>
        <w:t>项目名称：</w:t>
      </w:r>
    </w:p>
    <w:p>
      <w:pPr>
        <w:spacing w:line="480" w:lineRule="exact"/>
        <w:rPr>
          <w:rFonts w:ascii="宋体" w:hAnsi="宋体"/>
          <w:sz w:val="24"/>
        </w:rPr>
      </w:pPr>
      <w:r>
        <w:rPr>
          <w:rFonts w:hint="eastAsia" w:ascii="宋体" w:hAnsi="宋体"/>
          <w:b/>
          <w:bCs/>
          <w:kern w:val="28"/>
          <w:sz w:val="24"/>
        </w:rPr>
        <w:t>招标编号：</w:t>
      </w:r>
      <w:r>
        <w:rPr>
          <w:rFonts w:hint="eastAsia" w:ascii="宋体" w:hAnsi="宋体"/>
          <w:sz w:val="24"/>
        </w:rPr>
        <w:t xml:space="preserve"> </w:t>
      </w:r>
    </w:p>
    <w:tbl>
      <w:tblPr>
        <w:tblStyle w:val="42"/>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865"/>
        <w:gridCol w:w="1980"/>
        <w:gridCol w:w="2567"/>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9" w:type="dxa"/>
            <w:vAlign w:val="center"/>
          </w:tcPr>
          <w:p>
            <w:pPr>
              <w:rPr>
                <w:b/>
              </w:rPr>
            </w:pPr>
            <w:r>
              <w:rPr>
                <w:rFonts w:hint="eastAsia"/>
                <w:b/>
              </w:rPr>
              <w:t>序号</w:t>
            </w:r>
          </w:p>
        </w:tc>
        <w:tc>
          <w:tcPr>
            <w:tcW w:w="1134" w:type="dxa"/>
            <w:vAlign w:val="center"/>
          </w:tcPr>
          <w:p>
            <w:pPr>
              <w:jc w:val="center"/>
              <w:rPr>
                <w:b/>
              </w:rPr>
            </w:pPr>
            <w:r>
              <w:rPr>
                <w:rFonts w:hint="eastAsia"/>
                <w:b/>
              </w:rPr>
              <w:t>货物名称</w:t>
            </w:r>
          </w:p>
        </w:tc>
        <w:tc>
          <w:tcPr>
            <w:tcW w:w="1865" w:type="dxa"/>
            <w:vAlign w:val="center"/>
          </w:tcPr>
          <w:p>
            <w:pPr>
              <w:jc w:val="center"/>
              <w:rPr>
                <w:b/>
              </w:rPr>
            </w:pPr>
            <w:r>
              <w:rPr>
                <w:rFonts w:hint="eastAsia"/>
                <w:b/>
              </w:rPr>
              <w:t>采购货物规格</w:t>
            </w:r>
          </w:p>
        </w:tc>
        <w:tc>
          <w:tcPr>
            <w:tcW w:w="1980" w:type="dxa"/>
            <w:vAlign w:val="center"/>
          </w:tcPr>
          <w:p>
            <w:pPr>
              <w:jc w:val="center"/>
              <w:rPr>
                <w:b/>
              </w:rPr>
            </w:pPr>
            <w:r>
              <w:rPr>
                <w:rFonts w:hint="eastAsia"/>
                <w:b/>
              </w:rPr>
              <w:t>报价货物规格</w:t>
            </w:r>
          </w:p>
        </w:tc>
        <w:tc>
          <w:tcPr>
            <w:tcW w:w="2567" w:type="dxa"/>
            <w:vAlign w:val="center"/>
          </w:tcPr>
          <w:p>
            <w:pPr>
              <w:jc w:val="center"/>
              <w:rPr>
                <w:b/>
              </w:rPr>
            </w:pPr>
            <w:r>
              <w:rPr>
                <w:rFonts w:hint="eastAsia"/>
                <w:b/>
              </w:rPr>
              <w:t>正偏离/负偏离/无偏离</w:t>
            </w:r>
          </w:p>
        </w:tc>
        <w:tc>
          <w:tcPr>
            <w:tcW w:w="1573" w:type="dxa"/>
            <w:vAlign w:val="center"/>
          </w:tcPr>
          <w:p>
            <w:pPr>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tc>
        <w:tc>
          <w:tcPr>
            <w:tcW w:w="1134" w:type="dxa"/>
          </w:tcPr>
          <w:p/>
        </w:tc>
        <w:tc>
          <w:tcPr>
            <w:tcW w:w="1865" w:type="dxa"/>
          </w:tcPr>
          <w:p/>
        </w:tc>
        <w:tc>
          <w:tcPr>
            <w:tcW w:w="1980" w:type="dxa"/>
          </w:tcPr>
          <w:p/>
        </w:tc>
        <w:tc>
          <w:tcPr>
            <w:tcW w:w="2567" w:type="dxa"/>
          </w:tcPr>
          <w:p/>
        </w:tc>
        <w:tc>
          <w:tcPr>
            <w:tcW w:w="1573" w:type="dxa"/>
          </w:tcPr>
          <w:p/>
        </w:tc>
      </w:tr>
    </w:tbl>
    <w:p>
      <w:r>
        <w:rPr>
          <w:rFonts w:hint="eastAsia"/>
        </w:rPr>
        <w:t>注：1、货物必须按实填写本表格要求的全部内容。</w:t>
      </w:r>
    </w:p>
    <w:p>
      <w:pPr>
        <w:ind w:firstLine="420" w:firstLineChars="200"/>
        <w:rPr>
          <w:szCs w:val="21"/>
        </w:rPr>
      </w:pPr>
      <w:r>
        <w:rPr>
          <w:rFonts w:hint="eastAsia"/>
        </w:rPr>
        <w:t>2、如货物参数与要求不一致，必须在说明栏对不一致情况进行说明，并明示该不一致对本项目的影响。</w:t>
      </w:r>
    </w:p>
    <w:p>
      <w:pPr>
        <w:ind w:firstLine="420" w:firstLineChars="200"/>
        <w:rPr>
          <w:szCs w:val="21"/>
        </w:rPr>
      </w:pPr>
      <w:r>
        <w:rPr>
          <w:rFonts w:hint="eastAsia"/>
          <w:szCs w:val="21"/>
        </w:rPr>
        <w:t>3、如货物参数与要求不一致，是否接受该不一致，将由磋商小组在听取采购人意见后进行评定。</w:t>
      </w:r>
      <w:r>
        <w:rPr>
          <w:szCs w:val="21"/>
        </w:rPr>
        <w:t>供应商</w:t>
      </w:r>
      <w:r>
        <w:rPr>
          <w:rFonts w:hint="eastAsia"/>
          <w:szCs w:val="21"/>
        </w:rPr>
        <w:t>对所做调整承担全部责任。</w:t>
      </w:r>
    </w:p>
    <w:p>
      <w:pPr>
        <w:pStyle w:val="2"/>
      </w:pPr>
      <w:r>
        <w:rPr>
          <w:rFonts w:hint="eastAsia"/>
          <w:szCs w:val="21"/>
        </w:rPr>
        <w:t xml:space="preserve">   </w:t>
      </w:r>
    </w:p>
    <w:p>
      <w:pPr>
        <w:spacing w:line="480" w:lineRule="exact"/>
        <w:ind w:firstLine="484" w:firstLineChars="202"/>
        <w:rPr>
          <w:rFonts w:ascii="宋体" w:hAnsi="宋体"/>
          <w:sz w:val="24"/>
        </w:rPr>
      </w:pPr>
    </w:p>
    <w:p>
      <w:pPr>
        <w:pStyle w:val="23"/>
        <w:spacing w:line="360" w:lineRule="auto"/>
        <w:rPr>
          <w:rFonts w:hAnsi="宋体"/>
          <w:b/>
          <w:color w:val="000000"/>
          <w:sz w:val="24"/>
          <w:szCs w:val="24"/>
        </w:rPr>
      </w:pPr>
      <w:r>
        <w:rPr>
          <w:rFonts w:hAnsi="宋体"/>
          <w:b/>
          <w:color w:val="000000"/>
          <w:sz w:val="24"/>
          <w:szCs w:val="24"/>
        </w:rPr>
        <w:t>报价申请人：</w:t>
      </w:r>
      <w:r>
        <w:rPr>
          <w:rFonts w:hAnsi="宋体"/>
          <w:b/>
          <w:color w:val="000000"/>
          <w:sz w:val="24"/>
          <w:szCs w:val="24"/>
          <w:u w:val="single"/>
        </w:rPr>
        <w:t xml:space="preserve">                             </w:t>
      </w:r>
      <w:r>
        <w:rPr>
          <w:rFonts w:hAnsi="宋体"/>
          <w:b/>
          <w:color w:val="000000"/>
          <w:sz w:val="24"/>
          <w:szCs w:val="24"/>
        </w:rPr>
        <w:t>（盖章）</w:t>
      </w:r>
    </w:p>
    <w:p>
      <w:pPr>
        <w:pStyle w:val="23"/>
        <w:spacing w:line="360" w:lineRule="auto"/>
        <w:rPr>
          <w:rFonts w:hAnsi="宋体"/>
          <w:b/>
          <w:color w:val="000000"/>
          <w:sz w:val="24"/>
          <w:szCs w:val="24"/>
        </w:rPr>
      </w:pPr>
      <w:r>
        <w:rPr>
          <w:rFonts w:hAnsi="宋体"/>
          <w:b/>
          <w:color w:val="000000"/>
          <w:sz w:val="24"/>
          <w:szCs w:val="24"/>
        </w:rPr>
        <w:t>法定代表人</w:t>
      </w:r>
      <w:r>
        <w:rPr>
          <w:rFonts w:hint="eastAsia" w:hAnsi="宋体"/>
          <w:b/>
          <w:color w:val="000000"/>
          <w:sz w:val="24"/>
          <w:szCs w:val="24"/>
        </w:rPr>
        <w:t>或委托代理人</w:t>
      </w:r>
      <w:r>
        <w:rPr>
          <w:rFonts w:hAnsi="宋体"/>
          <w:b/>
          <w:color w:val="000000"/>
          <w:sz w:val="24"/>
          <w:szCs w:val="24"/>
        </w:rPr>
        <w:t>：</w:t>
      </w:r>
      <w:r>
        <w:rPr>
          <w:rFonts w:hAnsi="宋体"/>
          <w:b/>
          <w:color w:val="000000"/>
          <w:sz w:val="24"/>
          <w:szCs w:val="24"/>
          <w:u w:val="single"/>
        </w:rPr>
        <w:t xml:space="preserve">                               </w:t>
      </w:r>
      <w:r>
        <w:rPr>
          <w:rFonts w:hAnsi="宋体"/>
          <w:b/>
          <w:color w:val="000000"/>
          <w:sz w:val="24"/>
          <w:szCs w:val="24"/>
        </w:rPr>
        <w:t>（签字或盖章）</w:t>
      </w:r>
    </w:p>
    <w:p>
      <w:pPr>
        <w:spacing w:line="480" w:lineRule="exact"/>
        <w:rPr>
          <w:b/>
          <w:sz w:val="28"/>
          <w:szCs w:val="28"/>
        </w:rPr>
      </w:pPr>
      <w:r>
        <w:rPr>
          <w:rFonts w:hAnsi="宋体"/>
          <w:b/>
          <w:color w:val="000000"/>
          <w:sz w:val="24"/>
        </w:rPr>
        <w:t>日期：</w:t>
      </w:r>
    </w:p>
    <w:p>
      <w:pPr>
        <w:spacing w:line="480" w:lineRule="exact"/>
        <w:jc w:val="center"/>
        <w:rPr>
          <w:b/>
          <w:sz w:val="28"/>
          <w:szCs w:val="28"/>
        </w:rPr>
      </w:pPr>
    </w:p>
    <w:p>
      <w:pPr>
        <w:spacing w:line="480" w:lineRule="exact"/>
        <w:jc w:val="center"/>
        <w:rPr>
          <w:b/>
          <w:sz w:val="28"/>
          <w:szCs w:val="28"/>
        </w:rPr>
      </w:pPr>
    </w:p>
    <w:p>
      <w:pPr>
        <w:spacing w:line="480" w:lineRule="exact"/>
        <w:jc w:val="center"/>
        <w:rPr>
          <w:b/>
          <w:sz w:val="28"/>
          <w:szCs w:val="28"/>
        </w:rPr>
      </w:pPr>
    </w:p>
    <w:p>
      <w:pPr>
        <w:spacing w:line="480" w:lineRule="exact"/>
        <w:jc w:val="center"/>
        <w:rPr>
          <w:b/>
          <w:sz w:val="28"/>
          <w:szCs w:val="28"/>
        </w:rPr>
      </w:pPr>
    </w:p>
    <w:p>
      <w:pPr>
        <w:spacing w:line="480" w:lineRule="exact"/>
        <w:jc w:val="center"/>
        <w:rPr>
          <w:b/>
          <w:sz w:val="28"/>
          <w:szCs w:val="28"/>
        </w:rPr>
      </w:pPr>
    </w:p>
    <w:p>
      <w:pPr>
        <w:spacing w:line="480" w:lineRule="exact"/>
        <w:jc w:val="center"/>
        <w:rPr>
          <w:b/>
          <w:sz w:val="28"/>
          <w:szCs w:val="28"/>
        </w:rPr>
      </w:pPr>
    </w:p>
    <w:p>
      <w:pPr>
        <w:pStyle w:val="2"/>
      </w:pPr>
    </w:p>
    <w:p/>
    <w:p>
      <w:pPr>
        <w:spacing w:line="480" w:lineRule="exact"/>
        <w:jc w:val="center"/>
        <w:rPr>
          <w:b/>
          <w:sz w:val="28"/>
          <w:szCs w:val="28"/>
        </w:rPr>
      </w:pPr>
    </w:p>
    <w:p>
      <w:pPr>
        <w:spacing w:line="480" w:lineRule="exact"/>
        <w:jc w:val="center"/>
        <w:rPr>
          <w:sz w:val="30"/>
          <w:szCs w:val="30"/>
        </w:rPr>
      </w:pPr>
      <w:r>
        <w:rPr>
          <w:rFonts w:hint="eastAsia"/>
          <w:b/>
          <w:sz w:val="28"/>
          <w:szCs w:val="28"/>
        </w:rPr>
        <w:t>六、类似项目业绩</w:t>
      </w:r>
    </w:p>
    <w:p>
      <w:pPr>
        <w:spacing w:line="360" w:lineRule="auto"/>
        <w:ind w:left="1183" w:hanging="1183" w:hangingChars="491"/>
        <w:rPr>
          <w:rFonts w:ascii="宋体" w:hAnsi="宋体"/>
          <w:b/>
          <w:bCs/>
          <w:kern w:val="28"/>
          <w:sz w:val="24"/>
        </w:rPr>
      </w:pPr>
      <w:r>
        <w:rPr>
          <w:rFonts w:hint="eastAsia" w:ascii="宋体" w:hAnsi="宋体"/>
          <w:b/>
          <w:bCs/>
          <w:kern w:val="28"/>
          <w:sz w:val="24"/>
        </w:rPr>
        <w:t>项目名称：</w:t>
      </w:r>
    </w:p>
    <w:p>
      <w:r>
        <w:rPr>
          <w:rFonts w:hint="eastAsia" w:ascii="宋体" w:hAnsi="宋体"/>
          <w:b/>
          <w:bCs/>
          <w:kern w:val="28"/>
          <w:sz w:val="24"/>
        </w:rPr>
        <w:t>招标编号：</w:t>
      </w:r>
    </w:p>
    <w:tbl>
      <w:tblPr>
        <w:tblStyle w:val="42"/>
        <w:tblW w:w="94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2622"/>
        <w:gridCol w:w="3060"/>
        <w:gridCol w:w="1620"/>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28" w:type="dxa"/>
            <w:vAlign w:val="center"/>
          </w:tcPr>
          <w:p>
            <w:pPr>
              <w:jc w:val="center"/>
              <w:rPr>
                <w:b/>
              </w:rPr>
            </w:pPr>
            <w:r>
              <w:rPr>
                <w:rFonts w:hint="eastAsia"/>
                <w:b/>
              </w:rPr>
              <w:t>序号</w:t>
            </w:r>
          </w:p>
        </w:tc>
        <w:tc>
          <w:tcPr>
            <w:tcW w:w="2622" w:type="dxa"/>
            <w:vAlign w:val="center"/>
          </w:tcPr>
          <w:p>
            <w:pPr>
              <w:jc w:val="center"/>
              <w:rPr>
                <w:b/>
              </w:rPr>
            </w:pPr>
            <w:r>
              <w:rPr>
                <w:rFonts w:hint="eastAsia"/>
                <w:b/>
              </w:rPr>
              <w:t>项目名称</w:t>
            </w:r>
          </w:p>
        </w:tc>
        <w:tc>
          <w:tcPr>
            <w:tcW w:w="3060" w:type="dxa"/>
            <w:tcBorders>
              <w:right w:val="single" w:color="auto" w:sz="4" w:space="0"/>
            </w:tcBorders>
            <w:vAlign w:val="center"/>
          </w:tcPr>
          <w:p>
            <w:pPr>
              <w:jc w:val="center"/>
              <w:rPr>
                <w:b/>
              </w:rPr>
            </w:pPr>
            <w:r>
              <w:rPr>
                <w:rFonts w:hint="eastAsia"/>
                <w:b/>
              </w:rPr>
              <w:t>项目内容</w:t>
            </w:r>
          </w:p>
        </w:tc>
        <w:tc>
          <w:tcPr>
            <w:tcW w:w="1620" w:type="dxa"/>
            <w:vAlign w:val="center"/>
          </w:tcPr>
          <w:p>
            <w:pPr>
              <w:jc w:val="center"/>
              <w:rPr>
                <w:b/>
              </w:rPr>
            </w:pPr>
            <w:r>
              <w:rPr>
                <w:rFonts w:hint="eastAsia"/>
                <w:b/>
              </w:rPr>
              <w:t>合同金额(万元)</w:t>
            </w:r>
          </w:p>
        </w:tc>
        <w:tc>
          <w:tcPr>
            <w:tcW w:w="1566" w:type="dxa"/>
            <w:vAlign w:val="center"/>
          </w:tcPr>
          <w:p>
            <w:pPr>
              <w:jc w:val="center"/>
              <w:rPr>
                <w:b/>
              </w:rPr>
            </w:pPr>
            <w:r>
              <w:rPr>
                <w:rFonts w:hint="eastAsia"/>
                <w:b/>
              </w:rPr>
              <w:t>合同签订日期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28" w:type="dxa"/>
            <w:vAlign w:val="center"/>
          </w:tcPr>
          <w:p>
            <w:pPr>
              <w:jc w:val="center"/>
            </w:pPr>
            <w:r>
              <w:t>1</w:t>
            </w:r>
          </w:p>
        </w:tc>
        <w:tc>
          <w:tcPr>
            <w:tcW w:w="2622" w:type="dxa"/>
            <w:vAlign w:val="center"/>
          </w:tcPr>
          <w:p/>
        </w:tc>
        <w:tc>
          <w:tcPr>
            <w:tcW w:w="3060" w:type="dxa"/>
            <w:tcBorders>
              <w:right w:val="single" w:color="auto" w:sz="4" w:space="0"/>
            </w:tcBorders>
            <w:vAlign w:val="center"/>
          </w:tcPr>
          <w:p/>
        </w:tc>
        <w:tc>
          <w:tcPr>
            <w:tcW w:w="1620" w:type="dxa"/>
            <w:vAlign w:val="center"/>
          </w:tcPr>
          <w:p/>
        </w:tc>
        <w:tc>
          <w:tcPr>
            <w:tcW w:w="1566"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28" w:type="dxa"/>
            <w:vAlign w:val="center"/>
          </w:tcPr>
          <w:p>
            <w:pPr>
              <w:jc w:val="center"/>
            </w:pPr>
            <w:r>
              <w:t>2</w:t>
            </w:r>
          </w:p>
        </w:tc>
        <w:tc>
          <w:tcPr>
            <w:tcW w:w="2622" w:type="dxa"/>
            <w:vAlign w:val="center"/>
          </w:tcPr>
          <w:p/>
        </w:tc>
        <w:tc>
          <w:tcPr>
            <w:tcW w:w="3060" w:type="dxa"/>
            <w:tcBorders>
              <w:right w:val="single" w:color="auto" w:sz="4" w:space="0"/>
            </w:tcBorders>
            <w:vAlign w:val="center"/>
          </w:tcPr>
          <w:p/>
        </w:tc>
        <w:tc>
          <w:tcPr>
            <w:tcW w:w="1620" w:type="dxa"/>
            <w:vAlign w:val="center"/>
          </w:tcPr>
          <w:p/>
        </w:tc>
        <w:tc>
          <w:tcPr>
            <w:tcW w:w="1566"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28" w:type="dxa"/>
            <w:vAlign w:val="center"/>
          </w:tcPr>
          <w:p>
            <w:pPr>
              <w:jc w:val="center"/>
            </w:pPr>
            <w:r>
              <w:t>…</w:t>
            </w:r>
          </w:p>
        </w:tc>
        <w:tc>
          <w:tcPr>
            <w:tcW w:w="2622" w:type="dxa"/>
            <w:vAlign w:val="center"/>
          </w:tcPr>
          <w:p/>
        </w:tc>
        <w:tc>
          <w:tcPr>
            <w:tcW w:w="3060" w:type="dxa"/>
            <w:tcBorders>
              <w:right w:val="single" w:color="auto" w:sz="4" w:space="0"/>
            </w:tcBorders>
            <w:vAlign w:val="center"/>
          </w:tcPr>
          <w:p/>
        </w:tc>
        <w:tc>
          <w:tcPr>
            <w:tcW w:w="1620" w:type="dxa"/>
            <w:vAlign w:val="center"/>
          </w:tcPr>
          <w:p/>
        </w:tc>
        <w:tc>
          <w:tcPr>
            <w:tcW w:w="1566" w:type="dxa"/>
            <w:vAlign w:val="center"/>
          </w:tcPr>
          <w:p/>
        </w:tc>
      </w:tr>
    </w:tbl>
    <w:p>
      <w:pPr>
        <w:spacing w:line="360" w:lineRule="auto"/>
      </w:pPr>
      <w:r>
        <w:rPr>
          <w:rFonts w:hint="eastAsia"/>
        </w:rPr>
        <w:t>注：</w:t>
      </w:r>
      <w:r>
        <w:t>供应商</w:t>
      </w:r>
      <w:r>
        <w:rPr>
          <w:rFonts w:hint="eastAsia"/>
        </w:rPr>
        <w:t>所列业绩应提供业绩证明文件，如：中标（成交）通知书及合同协议书等。</w:t>
      </w:r>
    </w:p>
    <w:p>
      <w:pPr>
        <w:spacing w:line="360" w:lineRule="auto"/>
      </w:pPr>
    </w:p>
    <w:p>
      <w:pPr>
        <w:pStyle w:val="23"/>
        <w:spacing w:line="360" w:lineRule="auto"/>
        <w:rPr>
          <w:rFonts w:hAnsi="宋体"/>
          <w:b/>
          <w:color w:val="000000"/>
          <w:sz w:val="24"/>
          <w:szCs w:val="24"/>
        </w:rPr>
      </w:pPr>
      <w:r>
        <w:rPr>
          <w:rFonts w:hAnsi="宋体"/>
          <w:b/>
          <w:color w:val="000000"/>
          <w:sz w:val="24"/>
          <w:szCs w:val="24"/>
        </w:rPr>
        <w:t>报价申请人：</w:t>
      </w:r>
      <w:r>
        <w:rPr>
          <w:rFonts w:hAnsi="宋体"/>
          <w:b/>
          <w:color w:val="000000"/>
          <w:sz w:val="24"/>
          <w:szCs w:val="24"/>
          <w:u w:val="single"/>
        </w:rPr>
        <w:t xml:space="preserve">                             </w:t>
      </w:r>
      <w:r>
        <w:rPr>
          <w:rFonts w:hAnsi="宋体"/>
          <w:b/>
          <w:color w:val="000000"/>
          <w:sz w:val="24"/>
          <w:szCs w:val="24"/>
        </w:rPr>
        <w:t>（盖章）</w:t>
      </w:r>
    </w:p>
    <w:p>
      <w:pPr>
        <w:pStyle w:val="23"/>
        <w:spacing w:line="360" w:lineRule="auto"/>
        <w:rPr>
          <w:rFonts w:hAnsi="宋体"/>
          <w:b/>
          <w:color w:val="000000"/>
          <w:sz w:val="24"/>
          <w:szCs w:val="24"/>
        </w:rPr>
      </w:pPr>
      <w:r>
        <w:rPr>
          <w:rFonts w:hAnsi="宋体"/>
          <w:b/>
          <w:color w:val="000000"/>
          <w:sz w:val="24"/>
          <w:szCs w:val="24"/>
        </w:rPr>
        <w:t>法定代表人</w:t>
      </w:r>
      <w:r>
        <w:rPr>
          <w:rFonts w:hint="eastAsia" w:hAnsi="宋体"/>
          <w:b/>
          <w:color w:val="000000"/>
          <w:sz w:val="24"/>
          <w:szCs w:val="24"/>
        </w:rPr>
        <w:t>或委托代理人</w:t>
      </w:r>
      <w:r>
        <w:rPr>
          <w:rFonts w:hAnsi="宋体"/>
          <w:b/>
          <w:color w:val="000000"/>
          <w:sz w:val="24"/>
          <w:szCs w:val="24"/>
        </w:rPr>
        <w:t>：</w:t>
      </w:r>
      <w:r>
        <w:rPr>
          <w:rFonts w:hAnsi="宋体"/>
          <w:b/>
          <w:color w:val="000000"/>
          <w:sz w:val="24"/>
          <w:szCs w:val="24"/>
          <w:u w:val="single"/>
        </w:rPr>
        <w:t xml:space="preserve">                              </w:t>
      </w:r>
      <w:r>
        <w:rPr>
          <w:rFonts w:hAnsi="宋体"/>
          <w:b/>
          <w:color w:val="000000"/>
          <w:sz w:val="24"/>
          <w:szCs w:val="24"/>
        </w:rPr>
        <w:t>（签字或盖章）</w:t>
      </w:r>
    </w:p>
    <w:p>
      <w:pPr>
        <w:pStyle w:val="23"/>
        <w:spacing w:line="360" w:lineRule="auto"/>
        <w:jc w:val="left"/>
        <w:rPr>
          <w:rFonts w:hAnsi="宋体"/>
          <w:color w:val="000000"/>
          <w:sz w:val="24"/>
        </w:rPr>
      </w:pPr>
      <w:r>
        <w:rPr>
          <w:rFonts w:hAnsi="宋体"/>
          <w:b/>
          <w:color w:val="000000"/>
          <w:sz w:val="24"/>
          <w:szCs w:val="24"/>
        </w:rPr>
        <w:t xml:space="preserve">日期：        </w:t>
      </w:r>
    </w:p>
    <w:p>
      <w:pPr>
        <w:jc w:val="center"/>
        <w:rPr>
          <w:rFonts w:hAnsi="宋体"/>
          <w:b/>
          <w:color w:val="000000"/>
          <w:sz w:val="32"/>
          <w:szCs w:val="32"/>
        </w:rPr>
      </w:pPr>
      <w:r>
        <w:rPr>
          <w:b/>
          <w:sz w:val="28"/>
          <w:szCs w:val="28"/>
        </w:rPr>
        <w:br w:type="page"/>
      </w:r>
      <w:bookmarkEnd w:id="83"/>
      <w:bookmarkEnd w:id="84"/>
      <w:r>
        <w:rPr>
          <w:rFonts w:hAnsi="宋体"/>
          <w:b/>
          <w:color w:val="000000"/>
          <w:sz w:val="24"/>
        </w:rPr>
        <w:t xml:space="preserve"> </w:t>
      </w:r>
      <w:r>
        <w:rPr>
          <w:rFonts w:hint="eastAsia" w:hAnsi="宋体"/>
          <w:b/>
          <w:color w:val="000000"/>
          <w:sz w:val="32"/>
          <w:szCs w:val="32"/>
        </w:rPr>
        <w:t>七</w:t>
      </w:r>
      <w:r>
        <w:rPr>
          <w:rFonts w:hAnsi="宋体"/>
          <w:b/>
          <w:color w:val="000000"/>
          <w:sz w:val="32"/>
          <w:szCs w:val="32"/>
        </w:rPr>
        <w:t>、申请人资格审查材料</w:t>
      </w:r>
    </w:p>
    <w:p>
      <w:pPr>
        <w:spacing w:line="360" w:lineRule="auto"/>
        <w:jc w:val="center"/>
        <w:rPr>
          <w:rFonts w:cs="宋体"/>
          <w:kern w:val="0"/>
          <w:sz w:val="24"/>
        </w:rPr>
      </w:pPr>
    </w:p>
    <w:p>
      <w:pPr>
        <w:widowControl/>
        <w:spacing w:line="360" w:lineRule="auto"/>
        <w:jc w:val="left"/>
        <w:rPr>
          <w:rFonts w:ascii="宋体" w:hAnsi="宋体" w:cs="宋体"/>
          <w:sz w:val="24"/>
        </w:rPr>
      </w:pPr>
      <w:r>
        <w:rPr>
          <w:rFonts w:hint="eastAsia" w:ascii="宋体" w:hAnsi="宋体" w:cs="宋体"/>
          <w:sz w:val="24"/>
        </w:rPr>
        <w:t>（1）具有独立承担民事责任的能力：提供法人或者其他组织的营业执照等证明文件，自然人的身份证明；</w:t>
      </w:r>
    </w:p>
    <w:p>
      <w:pPr>
        <w:widowControl/>
        <w:spacing w:line="360" w:lineRule="auto"/>
        <w:jc w:val="left"/>
        <w:rPr>
          <w:rFonts w:ascii="宋体" w:hAnsi="宋体" w:cs="宋体"/>
          <w:sz w:val="24"/>
        </w:rPr>
      </w:pPr>
      <w:r>
        <w:rPr>
          <w:rFonts w:hint="eastAsia" w:ascii="宋体" w:hAnsi="宋体" w:cs="宋体"/>
          <w:sz w:val="24"/>
        </w:rPr>
        <w:t>（2）具有良好的商业信誉和健全的财务会计制度：提供2021年财务报表表（如供应商为新成立的公司，只需提供公司成立起至今的财务报表，其他组织和自然人，没有财务报表，可以提供银行出具的资信证明）；</w:t>
      </w:r>
    </w:p>
    <w:p>
      <w:pPr>
        <w:widowControl/>
        <w:spacing w:line="360" w:lineRule="auto"/>
        <w:jc w:val="left"/>
        <w:rPr>
          <w:rFonts w:ascii="宋体" w:hAnsi="宋体" w:cs="宋体"/>
          <w:sz w:val="24"/>
        </w:rPr>
      </w:pPr>
      <w:r>
        <w:rPr>
          <w:rFonts w:hint="eastAsia" w:ascii="宋体" w:hAnsi="宋体" w:cs="宋体"/>
          <w:sz w:val="24"/>
        </w:rPr>
        <w:t>（3）具有履行合同所必需的设备和专业技术能力：提供书面声明；</w:t>
      </w:r>
    </w:p>
    <w:p>
      <w:pPr>
        <w:widowControl/>
        <w:spacing w:line="360" w:lineRule="auto"/>
        <w:jc w:val="left"/>
        <w:rPr>
          <w:rFonts w:ascii="宋体" w:hAnsi="宋体" w:cs="宋体"/>
          <w:sz w:val="24"/>
        </w:rPr>
      </w:pPr>
      <w:r>
        <w:rPr>
          <w:rFonts w:hint="eastAsia" w:ascii="宋体" w:hAnsi="宋体" w:cs="宋体"/>
          <w:sz w:val="24"/>
        </w:rPr>
        <w:t>（4）有依法缴纳税收的良好记录：提供2022年1月至今任意1个月的缴纳税收资金证明材料（如供应商属于免税或免缴纳社会保障资金的情况应提供相关证明材料）；</w:t>
      </w:r>
    </w:p>
    <w:p>
      <w:pPr>
        <w:widowControl/>
        <w:spacing w:line="360" w:lineRule="auto"/>
        <w:jc w:val="left"/>
        <w:rPr>
          <w:rFonts w:ascii="宋体" w:hAnsi="宋体" w:cs="宋体"/>
          <w:sz w:val="24"/>
        </w:rPr>
      </w:pPr>
      <w:r>
        <w:rPr>
          <w:rFonts w:hint="eastAsia" w:ascii="宋体" w:hAnsi="宋体" w:cs="宋体"/>
          <w:sz w:val="24"/>
        </w:rPr>
        <w:t>（5）参加政府采购活动前三年内，在经营活动中没有重大违法记录：提供书面声明；</w:t>
      </w:r>
    </w:p>
    <w:p>
      <w:pPr>
        <w:widowControl/>
        <w:spacing w:line="360" w:lineRule="auto"/>
        <w:rPr>
          <w:rFonts w:ascii="宋体" w:hAnsi="宋体" w:cs="宋体"/>
          <w:kern w:val="0"/>
          <w:sz w:val="24"/>
        </w:rPr>
      </w:pPr>
      <w:r>
        <w:rPr>
          <w:rFonts w:hint="eastAsia" w:ascii="宋体" w:hAnsi="宋体" w:cs="宋体"/>
          <w:sz w:val="24"/>
        </w:rPr>
        <w:t>（6）磋商保证金汇款凭证复印件。</w:t>
      </w:r>
    </w:p>
    <w:p>
      <w:pPr>
        <w:spacing w:line="360" w:lineRule="auto"/>
        <w:jc w:val="center"/>
        <w:rPr>
          <w:rFonts w:hAnsi="宋体"/>
          <w:b/>
          <w:bCs/>
          <w:color w:val="000000"/>
          <w:sz w:val="24"/>
        </w:rPr>
      </w:pPr>
    </w:p>
    <w:p>
      <w:pPr>
        <w:spacing w:line="360" w:lineRule="auto"/>
        <w:jc w:val="center"/>
        <w:rPr>
          <w:rFonts w:hAnsi="宋体"/>
          <w:b/>
          <w:bCs/>
          <w:color w:val="000000"/>
          <w:sz w:val="24"/>
        </w:rPr>
      </w:pPr>
    </w:p>
    <w:p>
      <w:pPr>
        <w:spacing w:line="360" w:lineRule="auto"/>
        <w:jc w:val="center"/>
        <w:rPr>
          <w:rFonts w:hAnsi="宋体"/>
          <w:color w:val="000000"/>
          <w:sz w:val="24"/>
        </w:rPr>
      </w:pPr>
    </w:p>
    <w:p>
      <w:pPr>
        <w:spacing w:line="360" w:lineRule="auto"/>
        <w:jc w:val="center"/>
        <w:rPr>
          <w:rFonts w:hAnsi="宋体"/>
          <w:color w:val="000000"/>
          <w:sz w:val="24"/>
        </w:rPr>
      </w:pPr>
    </w:p>
    <w:p>
      <w:pPr>
        <w:spacing w:line="480" w:lineRule="exact"/>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
      <w:pPr>
        <w:pStyle w:val="2"/>
        <w:rPr>
          <w:rFonts w:ascii="宋体" w:hAnsi="宋体"/>
          <w:sz w:val="24"/>
        </w:rPr>
      </w:pPr>
    </w:p>
    <w:p>
      <w:pPr>
        <w:pStyle w:val="2"/>
        <w:rPr>
          <w:rFonts w:ascii="宋体" w:hAnsi="宋体"/>
          <w:sz w:val="24"/>
        </w:rPr>
      </w:pPr>
    </w:p>
    <w:p>
      <w:pPr>
        <w:pStyle w:val="2"/>
        <w:rPr>
          <w:rFonts w:ascii="宋体" w:hAnsi="宋体"/>
          <w:sz w:val="24"/>
        </w:rPr>
      </w:pPr>
    </w:p>
    <w:p>
      <w:pPr>
        <w:spacing w:line="360" w:lineRule="auto"/>
        <w:jc w:val="center"/>
        <w:rPr>
          <w:b/>
          <w:bCs/>
          <w:sz w:val="28"/>
          <w:szCs w:val="28"/>
        </w:rPr>
      </w:pPr>
      <w:r>
        <w:rPr>
          <w:rFonts w:hint="eastAsia"/>
          <w:b/>
          <w:bCs/>
          <w:sz w:val="30"/>
          <w:szCs w:val="30"/>
        </w:rPr>
        <w:t>八、</w:t>
      </w:r>
      <w:r>
        <w:rPr>
          <w:rFonts w:hint="eastAsia"/>
          <w:b/>
          <w:bCs/>
          <w:sz w:val="28"/>
          <w:szCs w:val="28"/>
        </w:rPr>
        <w:t>中小企业声明函</w:t>
      </w:r>
    </w:p>
    <w:p>
      <w:pPr>
        <w:widowControl/>
        <w:spacing w:line="48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 xml:space="preserve">本公司（联合体）郑重声明，根据《政府采购促进中小企业发展管理办法》（财库﹝2020﹞46 号）的规定，本公司（联合体）参加 </w:t>
      </w:r>
      <w:r>
        <w:rPr>
          <w:rFonts w:hint="eastAsia" w:ascii="宋体" w:hAnsi="宋体" w:cs="宋体"/>
          <w:color w:val="000000"/>
          <w:kern w:val="0"/>
          <w:sz w:val="24"/>
          <w:u w:val="single"/>
          <w:lang w:bidi="ar"/>
        </w:rPr>
        <w:t xml:space="preserve">（单位名称） </w:t>
      </w:r>
      <w:r>
        <w:rPr>
          <w:rFonts w:hint="eastAsia" w:ascii="宋体" w:hAnsi="宋体" w:cs="宋体"/>
          <w:color w:val="000000"/>
          <w:kern w:val="0"/>
          <w:sz w:val="24"/>
          <w:lang w:bidi="ar"/>
        </w:rPr>
        <w:t>的</w:t>
      </w:r>
      <w:r>
        <w:rPr>
          <w:rFonts w:hint="eastAsia" w:ascii="宋体" w:hAnsi="宋体" w:cs="宋体"/>
          <w:color w:val="000000"/>
          <w:kern w:val="0"/>
          <w:sz w:val="24"/>
          <w:u w:val="single"/>
          <w:lang w:bidi="ar"/>
        </w:rPr>
        <w:t xml:space="preserve"> （项目名称） </w:t>
      </w:r>
      <w:r>
        <w:rPr>
          <w:rFonts w:hint="eastAsia" w:ascii="宋体" w:hAnsi="宋体" w:cs="宋体"/>
          <w:color w:val="000000"/>
          <w:kern w:val="0"/>
          <w:sz w:val="24"/>
          <w:lang w:bidi="ar"/>
        </w:rPr>
        <w:t>采购活动，提供的货物全部由符合政策要求的中小企业制造。相关企业（含联合体中的中小企业、签订分包意向协议的中小企业）的具体情况如下：</w:t>
      </w:r>
    </w:p>
    <w:p>
      <w:pPr>
        <w:widowControl/>
        <w:spacing w:line="48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 xml:space="preserve">1. </w:t>
      </w:r>
      <w:r>
        <w:rPr>
          <w:rFonts w:hint="eastAsia" w:ascii="宋体" w:hAnsi="宋体" w:cs="宋体"/>
          <w:color w:val="000000"/>
          <w:kern w:val="0"/>
          <w:sz w:val="24"/>
          <w:u w:val="single"/>
          <w:lang w:bidi="ar"/>
        </w:rPr>
        <w:t xml:space="preserve">（标的名称） </w:t>
      </w:r>
      <w:r>
        <w:rPr>
          <w:rFonts w:hint="eastAsia" w:ascii="宋体" w:hAnsi="宋体" w:cs="宋体"/>
          <w:color w:val="000000"/>
          <w:kern w:val="0"/>
          <w:sz w:val="24"/>
          <w:lang w:bidi="ar"/>
        </w:rPr>
        <w:t xml:space="preserve">，属于 </w:t>
      </w:r>
      <w:r>
        <w:rPr>
          <w:rFonts w:hint="eastAsia" w:ascii="宋体" w:hAnsi="宋体" w:cs="宋体"/>
          <w:color w:val="000000"/>
          <w:kern w:val="0"/>
          <w:sz w:val="24"/>
          <w:u w:val="single"/>
          <w:lang w:bidi="ar"/>
        </w:rPr>
        <w:t>（采购文件中明确的所属行业）</w:t>
      </w:r>
      <w:r>
        <w:rPr>
          <w:rFonts w:hint="eastAsia" w:ascii="宋体" w:hAnsi="宋体" w:cs="宋体"/>
          <w:color w:val="000000"/>
          <w:kern w:val="0"/>
          <w:sz w:val="24"/>
          <w:lang w:bidi="ar"/>
        </w:rPr>
        <w:t xml:space="preserve">行业 ；制造商为 </w:t>
      </w:r>
      <w:r>
        <w:rPr>
          <w:rFonts w:hint="eastAsia" w:ascii="宋体" w:hAnsi="宋体" w:cs="宋体"/>
          <w:color w:val="000000"/>
          <w:kern w:val="0"/>
          <w:sz w:val="24"/>
          <w:u w:val="single"/>
          <w:lang w:bidi="ar"/>
        </w:rPr>
        <w:t xml:space="preserve">（企业名称） </w:t>
      </w:r>
      <w:r>
        <w:rPr>
          <w:rFonts w:hint="eastAsia" w:ascii="宋体" w:hAnsi="宋体" w:cs="宋体"/>
          <w:color w:val="000000"/>
          <w:kern w:val="0"/>
          <w:sz w:val="24"/>
          <w:lang w:bidi="ar"/>
        </w:rPr>
        <w:t>，从业人员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人，营业收入为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万元，资产总额为</w:t>
      </w:r>
      <w:r>
        <w:rPr>
          <w:rFonts w:hint="eastAsia" w:ascii="宋体" w:hAnsi="宋体" w:cs="宋体"/>
          <w:i/>
          <w:iCs/>
          <w:color w:val="000000"/>
          <w:kern w:val="0"/>
          <w:sz w:val="24"/>
          <w:u w:val="single"/>
          <w:lang w:bidi="ar"/>
        </w:rPr>
        <w:t xml:space="preserve">    </w:t>
      </w:r>
      <w:r>
        <w:rPr>
          <w:rFonts w:hint="eastAsia" w:ascii="宋体" w:hAnsi="宋体" w:cs="宋体"/>
          <w:color w:val="000000"/>
          <w:kern w:val="0"/>
          <w:sz w:val="24"/>
          <w:lang w:bidi="ar"/>
        </w:rPr>
        <w:t>万元①，属于</w:t>
      </w:r>
      <w:r>
        <w:rPr>
          <w:rFonts w:hint="eastAsia" w:ascii="宋体" w:hAnsi="宋体" w:cs="宋体"/>
          <w:color w:val="000000"/>
          <w:kern w:val="0"/>
          <w:sz w:val="24"/>
          <w:u w:val="single"/>
          <w:lang w:bidi="ar"/>
        </w:rPr>
        <w:t>（中型企业、小型企业、微型企业）</w:t>
      </w:r>
      <w:r>
        <w:rPr>
          <w:rFonts w:hint="eastAsia" w:ascii="宋体" w:hAnsi="宋体" w:cs="宋体"/>
          <w:color w:val="000000"/>
          <w:kern w:val="0"/>
          <w:sz w:val="24"/>
          <w:lang w:bidi="ar"/>
        </w:rPr>
        <w:t xml:space="preserve"> ；</w:t>
      </w:r>
    </w:p>
    <w:p>
      <w:pPr>
        <w:widowControl/>
        <w:spacing w:line="48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2.</w:t>
      </w:r>
      <w:r>
        <w:rPr>
          <w:rFonts w:hint="eastAsia" w:ascii="宋体" w:hAnsi="宋体" w:cs="宋体"/>
          <w:color w:val="000000"/>
          <w:kern w:val="0"/>
          <w:sz w:val="24"/>
          <w:u w:val="single"/>
          <w:lang w:bidi="ar"/>
        </w:rPr>
        <w:t xml:space="preserve"> （标的名称）</w:t>
      </w:r>
      <w:r>
        <w:rPr>
          <w:rFonts w:hint="eastAsia" w:ascii="宋体" w:hAnsi="宋体" w:cs="宋体"/>
          <w:color w:val="000000"/>
          <w:kern w:val="0"/>
          <w:sz w:val="24"/>
          <w:lang w:bidi="ar"/>
        </w:rPr>
        <w:t xml:space="preserve"> ，属于 </w:t>
      </w:r>
      <w:r>
        <w:rPr>
          <w:rFonts w:hint="eastAsia" w:ascii="宋体" w:hAnsi="宋体" w:cs="宋体"/>
          <w:color w:val="000000"/>
          <w:kern w:val="0"/>
          <w:sz w:val="24"/>
          <w:u w:val="single"/>
          <w:lang w:bidi="ar"/>
        </w:rPr>
        <w:t>（采购文件中明确的所属行业）</w:t>
      </w:r>
      <w:r>
        <w:rPr>
          <w:rFonts w:hint="eastAsia" w:ascii="宋体" w:hAnsi="宋体" w:cs="宋体"/>
          <w:color w:val="000000"/>
          <w:kern w:val="0"/>
          <w:sz w:val="24"/>
          <w:lang w:bidi="ar"/>
        </w:rPr>
        <w:t xml:space="preserve">行业 ；制造商为 </w:t>
      </w:r>
      <w:r>
        <w:rPr>
          <w:rFonts w:hint="eastAsia" w:ascii="宋体" w:hAnsi="宋体" w:cs="宋体"/>
          <w:color w:val="000000"/>
          <w:kern w:val="0"/>
          <w:sz w:val="24"/>
          <w:u w:val="single"/>
          <w:lang w:bidi="ar"/>
        </w:rPr>
        <w:t>（企业名称）</w:t>
      </w:r>
      <w:r>
        <w:rPr>
          <w:rFonts w:hint="eastAsia" w:ascii="宋体" w:hAnsi="宋体" w:cs="宋体"/>
          <w:color w:val="000000"/>
          <w:kern w:val="0"/>
          <w:sz w:val="24"/>
          <w:lang w:bidi="ar"/>
        </w:rPr>
        <w:t xml:space="preserve"> ，从业人员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人，营业收入为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万元，资产总额为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 万元，属于</w:t>
      </w:r>
      <w:r>
        <w:rPr>
          <w:rFonts w:hint="eastAsia" w:ascii="宋体" w:hAnsi="宋体" w:cs="宋体"/>
          <w:color w:val="000000"/>
          <w:kern w:val="0"/>
          <w:sz w:val="24"/>
          <w:u w:val="single"/>
          <w:lang w:bidi="ar"/>
        </w:rPr>
        <w:t xml:space="preserve"> （中型企业、小型企业、微型企业） </w:t>
      </w:r>
      <w:r>
        <w:rPr>
          <w:rFonts w:hint="eastAsia" w:ascii="宋体" w:hAnsi="宋体" w:cs="宋体"/>
          <w:color w:val="000000"/>
          <w:kern w:val="0"/>
          <w:sz w:val="24"/>
          <w:lang w:bidi="ar"/>
        </w:rPr>
        <w:t>；</w:t>
      </w:r>
    </w:p>
    <w:p>
      <w:pPr>
        <w:widowControl/>
        <w:spacing w:line="48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w:t>
      </w:r>
    </w:p>
    <w:p>
      <w:pPr>
        <w:widowControl/>
        <w:spacing w:line="48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以上企业，不属于大企业的分支机构，不存在控股股东为大企业的情形，也不存在与大企业的负责人为同一人的情形。</w:t>
      </w:r>
    </w:p>
    <w:p>
      <w:pPr>
        <w:widowControl/>
        <w:spacing w:line="48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本企业对上述声明内容的真实性负责。如有虚假，将依法承担相应责任。</w:t>
      </w:r>
    </w:p>
    <w:p>
      <w:pPr>
        <w:widowControl/>
        <w:spacing w:line="480" w:lineRule="exact"/>
        <w:jc w:val="left"/>
        <w:rPr>
          <w:rFonts w:ascii="宋体" w:hAnsi="宋体" w:cs="宋体"/>
          <w:color w:val="000000"/>
          <w:kern w:val="0"/>
          <w:sz w:val="24"/>
          <w:lang w:bidi="ar"/>
        </w:rPr>
      </w:pPr>
    </w:p>
    <w:p>
      <w:pPr>
        <w:widowControl/>
        <w:spacing w:line="480" w:lineRule="exact"/>
        <w:jc w:val="left"/>
        <w:rPr>
          <w:rFonts w:ascii="宋体" w:hAnsi="宋体" w:cs="宋体"/>
          <w:color w:val="000000"/>
          <w:kern w:val="0"/>
          <w:sz w:val="24"/>
          <w:lang w:bidi="ar"/>
        </w:rPr>
      </w:pPr>
    </w:p>
    <w:p>
      <w:pPr>
        <w:widowControl/>
        <w:spacing w:line="480" w:lineRule="exact"/>
        <w:jc w:val="left"/>
        <w:rPr>
          <w:rFonts w:ascii="宋体" w:hAnsi="宋体" w:cs="宋体"/>
          <w:color w:val="000000"/>
          <w:kern w:val="0"/>
          <w:sz w:val="24"/>
          <w:lang w:bidi="ar"/>
        </w:rPr>
      </w:pPr>
      <w:r>
        <w:rPr>
          <w:rFonts w:hint="eastAsia" w:ascii="宋体" w:hAnsi="宋体" w:cs="宋体"/>
          <w:color w:val="000000"/>
          <w:kern w:val="0"/>
          <w:sz w:val="24"/>
          <w:lang w:bidi="ar"/>
        </w:rPr>
        <w:t>企业名称（盖章）：</w:t>
      </w:r>
    </w:p>
    <w:p>
      <w:pPr>
        <w:widowControl/>
        <w:spacing w:line="480" w:lineRule="exact"/>
        <w:jc w:val="left"/>
        <w:rPr>
          <w:rFonts w:ascii="宋体" w:hAnsi="宋体" w:cs="宋体"/>
          <w:color w:val="000000"/>
          <w:kern w:val="0"/>
          <w:sz w:val="24"/>
          <w:lang w:bidi="ar"/>
        </w:rPr>
      </w:pPr>
      <w:r>
        <w:rPr>
          <w:rFonts w:hint="eastAsia" w:ascii="宋体" w:hAnsi="宋体" w:cs="宋体"/>
          <w:color w:val="000000"/>
          <w:kern w:val="0"/>
          <w:sz w:val="24"/>
          <w:lang w:bidi="ar"/>
        </w:rPr>
        <w:t>日 期：</w:t>
      </w:r>
    </w:p>
    <w:p>
      <w:pPr>
        <w:numPr>
          <w:ilvl w:val="0"/>
          <w:numId w:val="4"/>
        </w:numPr>
        <w:spacing w:line="480" w:lineRule="exact"/>
        <w:rPr>
          <w:rFonts w:hAnsi="宋体"/>
          <w:b/>
          <w:color w:val="000000"/>
          <w:sz w:val="24"/>
        </w:rPr>
      </w:pPr>
      <w:r>
        <w:rPr>
          <w:rFonts w:hint="eastAsia" w:ascii="宋体" w:hAnsi="宋体" w:cs="宋体"/>
          <w:color w:val="000000"/>
          <w:kern w:val="0"/>
          <w:sz w:val="24"/>
          <w:lang w:bidi="ar"/>
        </w:rPr>
        <w:t>从业人员、营业收入、资产总额填报上一年度数据，无上一年度数据的新成立企业可不填报。</w:t>
      </w:r>
      <w:r>
        <w:rPr>
          <w:rFonts w:hAnsi="宋体"/>
          <w:b/>
          <w:color w:val="000000"/>
          <w:sz w:val="24"/>
        </w:rPr>
        <w:t xml:space="preserve">        </w:t>
      </w:r>
    </w:p>
    <w:p>
      <w:pPr>
        <w:spacing w:line="480" w:lineRule="exact"/>
        <w:rPr>
          <w:rFonts w:hAnsi="宋体"/>
          <w:b/>
          <w:bCs/>
          <w:sz w:val="24"/>
        </w:rPr>
      </w:pPr>
    </w:p>
    <w:p>
      <w:pPr>
        <w:spacing w:before="60" w:after="60" w:line="360" w:lineRule="auto"/>
        <w:rPr>
          <w:b/>
          <w:bCs/>
          <w:sz w:val="30"/>
          <w:szCs w:val="30"/>
        </w:rPr>
      </w:pPr>
      <w:r>
        <w:rPr>
          <w:rFonts w:hint="eastAsia" w:hAnsi="宋体"/>
          <w:b/>
          <w:bCs/>
          <w:sz w:val="24"/>
        </w:rPr>
        <w:t>注：必须所有投标产品厂家均为中小企业方填报本表，否则可以不用填报</w:t>
      </w:r>
    </w:p>
    <w:p>
      <w:pPr>
        <w:spacing w:before="60" w:after="60" w:line="360" w:lineRule="auto"/>
        <w:jc w:val="center"/>
        <w:rPr>
          <w:b/>
          <w:bCs/>
          <w:sz w:val="30"/>
          <w:szCs w:val="30"/>
        </w:rPr>
      </w:pPr>
    </w:p>
    <w:p>
      <w:pPr>
        <w:pStyle w:val="84"/>
        <w:rPr>
          <w:rFonts w:ascii="Times New Roman" w:hAnsi="Times New Roman"/>
          <w:b/>
          <w:bCs/>
          <w:sz w:val="30"/>
          <w:szCs w:val="30"/>
        </w:rPr>
      </w:pPr>
    </w:p>
    <w:p>
      <w:pPr>
        <w:rPr>
          <w:b/>
          <w:bCs/>
          <w:sz w:val="30"/>
          <w:szCs w:val="30"/>
        </w:rPr>
      </w:pPr>
    </w:p>
    <w:p>
      <w:pPr>
        <w:pStyle w:val="84"/>
        <w:rPr>
          <w:rFonts w:ascii="Times New Roman" w:hAnsi="Times New Roman"/>
          <w:b/>
          <w:bCs/>
          <w:sz w:val="30"/>
          <w:szCs w:val="30"/>
        </w:rPr>
      </w:pPr>
    </w:p>
    <w:p>
      <w:pPr>
        <w:spacing w:before="60" w:after="60" w:line="360" w:lineRule="auto"/>
        <w:jc w:val="center"/>
        <w:rPr>
          <w:rFonts w:hAnsi="宋体"/>
          <w:b/>
          <w:bCs/>
          <w:sz w:val="28"/>
          <w:szCs w:val="28"/>
        </w:rPr>
      </w:pPr>
      <w:r>
        <w:rPr>
          <w:rFonts w:hint="eastAsia"/>
          <w:b/>
          <w:bCs/>
          <w:sz w:val="28"/>
          <w:szCs w:val="28"/>
        </w:rPr>
        <w:t>九、项目实施方案</w:t>
      </w:r>
    </w:p>
    <w:p>
      <w:pPr>
        <w:spacing w:before="60" w:after="60" w:line="360" w:lineRule="auto"/>
        <w:jc w:val="center"/>
        <w:rPr>
          <w:b/>
          <w:bCs/>
          <w:sz w:val="28"/>
          <w:szCs w:val="28"/>
        </w:rPr>
      </w:pPr>
    </w:p>
    <w:p>
      <w:pPr>
        <w:spacing w:before="60" w:after="60" w:line="360" w:lineRule="auto"/>
        <w:jc w:val="center"/>
        <w:rPr>
          <w:b/>
          <w:bCs/>
          <w:sz w:val="28"/>
          <w:szCs w:val="28"/>
        </w:rPr>
      </w:pPr>
      <w:r>
        <w:rPr>
          <w:rFonts w:hint="eastAsia"/>
          <w:b/>
          <w:bCs/>
          <w:sz w:val="28"/>
          <w:szCs w:val="28"/>
        </w:rPr>
        <w:t>十、质量承诺及保障措施</w:t>
      </w:r>
    </w:p>
    <w:p>
      <w:pPr>
        <w:spacing w:before="60" w:after="60" w:line="360" w:lineRule="auto"/>
        <w:jc w:val="center"/>
        <w:rPr>
          <w:b/>
          <w:bCs/>
          <w:sz w:val="28"/>
          <w:szCs w:val="28"/>
        </w:rPr>
      </w:pPr>
    </w:p>
    <w:p>
      <w:pPr>
        <w:pStyle w:val="2"/>
        <w:jc w:val="center"/>
        <w:rPr>
          <w:b/>
          <w:bCs/>
          <w:sz w:val="28"/>
          <w:szCs w:val="28"/>
        </w:rPr>
      </w:pPr>
      <w:r>
        <w:rPr>
          <w:rFonts w:hint="eastAsia"/>
          <w:b/>
          <w:bCs/>
          <w:sz w:val="28"/>
          <w:szCs w:val="28"/>
        </w:rPr>
        <w:t>十一、售后服务承诺及保障措施</w:t>
      </w:r>
    </w:p>
    <w:p>
      <w:pPr>
        <w:spacing w:line="360" w:lineRule="auto"/>
        <w:rPr>
          <w:rFonts w:ascii="宋体" w:hAnsi="宋体"/>
          <w:b/>
          <w:bCs/>
          <w:sz w:val="28"/>
          <w:szCs w:val="28"/>
        </w:rPr>
      </w:pPr>
    </w:p>
    <w:p>
      <w:pPr>
        <w:jc w:val="center"/>
        <w:rPr>
          <w:b/>
          <w:bCs/>
          <w:sz w:val="30"/>
          <w:szCs w:val="30"/>
        </w:rPr>
      </w:pPr>
      <w:r>
        <w:rPr>
          <w:rFonts w:hint="eastAsia" w:ascii="宋体" w:hAnsi="宋体"/>
          <w:b/>
          <w:bCs/>
          <w:sz w:val="28"/>
          <w:szCs w:val="28"/>
        </w:rPr>
        <w:t>十二、应急方案</w:t>
      </w:r>
    </w:p>
    <w:p/>
    <w:p>
      <w:pPr>
        <w:spacing w:before="60" w:after="60" w:line="360" w:lineRule="auto"/>
        <w:jc w:val="center"/>
        <w:rPr>
          <w:b/>
          <w:bCs/>
          <w:sz w:val="30"/>
          <w:szCs w:val="30"/>
        </w:rPr>
      </w:pPr>
    </w:p>
    <w:p>
      <w:pPr>
        <w:spacing w:before="60" w:after="60" w:line="360" w:lineRule="auto"/>
        <w:jc w:val="center"/>
        <w:rPr>
          <w:b/>
          <w:bCs/>
          <w:sz w:val="30"/>
          <w:szCs w:val="30"/>
        </w:rPr>
        <w:sectPr>
          <w:footerReference r:id="rId5" w:type="default"/>
          <w:footerReference r:id="rId6" w:type="even"/>
          <w:pgSz w:w="11906" w:h="16838"/>
          <w:pgMar w:top="1247" w:right="1134" w:bottom="1247" w:left="1134" w:header="851" w:footer="992" w:gutter="0"/>
          <w:cols w:space="720" w:num="1"/>
          <w:docGrid w:type="lines" w:linePitch="312" w:charSpace="0"/>
        </w:sectPr>
      </w:pPr>
      <w:r>
        <w:rPr>
          <w:rFonts w:hint="eastAsia"/>
          <w:b/>
          <w:bCs/>
          <w:sz w:val="30"/>
          <w:szCs w:val="30"/>
        </w:rPr>
        <w:t>十三、供应商认为需要提供的其他资料</w:t>
      </w:r>
    </w:p>
    <w:p>
      <w:pPr>
        <w:numPr>
          <w:ilvl w:val="0"/>
          <w:numId w:val="3"/>
        </w:numPr>
        <w:spacing w:line="360" w:lineRule="auto"/>
        <w:jc w:val="center"/>
        <w:outlineLvl w:val="2"/>
        <w:rPr>
          <w:rFonts w:hint="eastAsia" w:ascii="宋体" w:hAnsi="宋体" w:eastAsia="宋体" w:cs="宋体"/>
          <w:b/>
          <w:bCs w:val="0"/>
          <w:kern w:val="0"/>
          <w:sz w:val="28"/>
          <w:szCs w:val="28"/>
          <w:lang w:val="en-US" w:eastAsia="zh-CN" w:bidi="ar-SA"/>
        </w:rPr>
      </w:pPr>
      <w:r>
        <w:rPr>
          <w:rFonts w:hint="eastAsia" w:ascii="宋体" w:hAnsi="宋体" w:eastAsia="宋体" w:cs="宋体"/>
          <w:b/>
          <w:bCs w:val="0"/>
          <w:kern w:val="0"/>
          <w:sz w:val="28"/>
          <w:szCs w:val="28"/>
          <w:lang w:val="en-US" w:eastAsia="zh-CN" w:bidi="ar-SA"/>
        </w:rPr>
        <w:t>采购需求</w:t>
      </w:r>
    </w:p>
    <w:p>
      <w:pPr>
        <w:pStyle w:val="5"/>
        <w:tabs>
          <w:tab w:val="left" w:pos="410"/>
        </w:tabs>
        <w:spacing w:before="0" w:after="0" w:line="360" w:lineRule="auto"/>
        <w:jc w:val="both"/>
        <w:rPr>
          <w:rFonts w:ascii="宋体" w:eastAsia="宋体" w:cs="宋体"/>
          <w:b/>
          <w:bCs w:val="0"/>
          <w:kern w:val="0"/>
          <w:sz w:val="24"/>
          <w:szCs w:val="24"/>
        </w:rPr>
      </w:pPr>
      <w:r>
        <w:rPr>
          <w:rFonts w:hint="eastAsia" w:ascii="宋体" w:eastAsia="宋体" w:cs="宋体"/>
          <w:b/>
          <w:bCs w:val="0"/>
          <w:kern w:val="0"/>
          <w:sz w:val="24"/>
          <w:szCs w:val="24"/>
        </w:rPr>
        <w:t>一、项目背景</w:t>
      </w:r>
    </w:p>
    <w:p>
      <w:pPr>
        <w:spacing w:line="360" w:lineRule="auto"/>
        <w:ind w:firstLine="480" w:firstLineChars="200"/>
        <w:rPr>
          <w:rFonts w:ascii="宋体" w:hAnsi="宋体" w:cs="宋体"/>
          <w:sz w:val="24"/>
        </w:rPr>
      </w:pPr>
      <w:r>
        <w:rPr>
          <w:rFonts w:hint="eastAsia" w:ascii="宋体" w:hAnsi="宋体" w:cs="宋体"/>
          <w:sz w:val="24"/>
        </w:rPr>
        <w:t>安全等级测评的目的是通过对目标系统在安全技术及管理方面的测评，对目标系统的安全技术状态及安全管理状况做出初步判断，给出目标系统在安全技术及安全管理方面与其相应安全等级保护要求之间的差距。以期发现信息系统和等级保护标准的差距以及存在的安全隐患，为后续的安全整改工作提供参考依据。并最终使信息系统满足等级保护要求并极大的提升安全防护能力。</w:t>
      </w:r>
    </w:p>
    <w:p>
      <w:pPr>
        <w:spacing w:line="360" w:lineRule="auto"/>
        <w:ind w:firstLine="480" w:firstLineChars="200"/>
        <w:rPr>
          <w:rFonts w:ascii="宋体" w:hAnsi="宋体" w:cs="宋体"/>
          <w:sz w:val="24"/>
          <w:lang w:eastAsia="zh-Hans"/>
        </w:rPr>
      </w:pPr>
      <w:r>
        <w:rPr>
          <w:rFonts w:hint="eastAsia" w:ascii="宋体" w:hAnsi="宋体" w:cs="宋体"/>
          <w:sz w:val="24"/>
          <w:lang w:eastAsia="zh-Hans"/>
        </w:rPr>
        <w:t>为做好网络安全保障工作，按照“全面排查风险、及时发现预警、快速有效处置、确保万无一失”的工作目标，</w:t>
      </w:r>
      <w:r>
        <w:rPr>
          <w:rFonts w:hint="eastAsia" w:ascii="宋体" w:hAnsi="宋体" w:cs="宋体"/>
          <w:sz w:val="24"/>
        </w:rPr>
        <w:t>确保</w:t>
      </w:r>
      <w:r>
        <w:rPr>
          <w:rFonts w:hint="eastAsia" w:ascii="宋体" w:hAnsi="宋体" w:cs="宋体"/>
          <w:sz w:val="24"/>
          <w:lang w:eastAsia="zh-Hans"/>
        </w:rPr>
        <w:t>关键</w:t>
      </w:r>
      <w:r>
        <w:rPr>
          <w:rFonts w:hint="eastAsia" w:ascii="宋体" w:hAnsi="宋体" w:cs="宋体"/>
          <w:sz w:val="24"/>
        </w:rPr>
        <w:t>敏感</w:t>
      </w:r>
      <w:r>
        <w:rPr>
          <w:rFonts w:hint="eastAsia" w:ascii="宋体" w:hAnsi="宋体" w:cs="宋体"/>
          <w:sz w:val="24"/>
          <w:lang w:eastAsia="zh-Hans"/>
        </w:rPr>
        <w:t>时</w:t>
      </w:r>
      <w:r>
        <w:rPr>
          <w:rFonts w:hint="eastAsia" w:ascii="宋体" w:hAnsi="宋体" w:cs="宋体"/>
          <w:sz w:val="24"/>
        </w:rPr>
        <w:t>期不发生网络安全事件，</w:t>
      </w:r>
      <w:r>
        <w:rPr>
          <w:rFonts w:hint="eastAsia" w:ascii="宋体" w:hAnsi="宋体" w:cs="宋体"/>
          <w:sz w:val="24"/>
          <w:lang w:eastAsia="zh-Hans"/>
        </w:rPr>
        <w:t>保障重要信息系统平稳运行。</w:t>
      </w:r>
      <w:r>
        <w:rPr>
          <w:rFonts w:hint="eastAsia" w:ascii="宋体" w:hAnsi="宋体" w:cs="宋体"/>
          <w:sz w:val="24"/>
        </w:rPr>
        <w:t>拟对重要系统开展等级保护测评工作，测评机构需要提供切实有效的整改方案、并提供整改咨询方案；对整改后的信息系统进行回归测评，最终达到国家等级保护相关要求。</w:t>
      </w:r>
    </w:p>
    <w:p>
      <w:pPr>
        <w:spacing w:line="360" w:lineRule="auto"/>
        <w:rPr>
          <w:rFonts w:ascii="宋体" w:hAnsi="宋体" w:cs="宋体"/>
          <w:b/>
          <w:bCs/>
          <w:sz w:val="24"/>
        </w:rPr>
      </w:pPr>
      <w:r>
        <w:rPr>
          <w:rFonts w:hint="eastAsia" w:ascii="宋体" w:hAnsi="宋体" w:cs="宋体"/>
          <w:b/>
          <w:bCs/>
          <w:sz w:val="24"/>
        </w:rPr>
        <w:t>二、服务内容及范围：</w:t>
      </w:r>
    </w:p>
    <w:p>
      <w:pPr>
        <w:spacing w:line="360" w:lineRule="auto"/>
        <w:ind w:firstLine="480" w:firstLineChars="200"/>
        <w:rPr>
          <w:rFonts w:ascii="宋体" w:hAnsi="宋体" w:cs="宋体"/>
          <w:sz w:val="24"/>
        </w:rPr>
      </w:pPr>
      <w:r>
        <w:rPr>
          <w:rFonts w:hint="eastAsia" w:ascii="宋体" w:hAnsi="宋体" w:cs="宋体"/>
          <w:sz w:val="24"/>
        </w:rPr>
        <w:t>1、具体服务内容：工商管理学院智能仓储系统物流效率虚拟仿真实验系统的云托管、二级安全等级测评及备案工作</w:t>
      </w:r>
    </w:p>
    <w:p>
      <w:pPr>
        <w:spacing w:line="360" w:lineRule="auto"/>
        <w:ind w:firstLine="480" w:firstLineChars="200"/>
        <w:rPr>
          <w:rFonts w:ascii="宋体" w:hAnsi="宋体" w:cs="宋体"/>
          <w:sz w:val="24"/>
        </w:rPr>
      </w:pPr>
      <w:r>
        <w:rPr>
          <w:rFonts w:hint="eastAsia" w:ascii="宋体" w:hAnsi="宋体" w:cs="宋体"/>
          <w:sz w:val="24"/>
        </w:rPr>
        <w:t>参照《GB/T22239-2019 网络安全等级保护基本要求》和《GB/T28448-2019 网络安全等级保护测评要求》等标准规范要求，开展信息系统等级保护测评及整改</w:t>
      </w:r>
      <w:r>
        <w:rPr>
          <w:rFonts w:hint="eastAsia" w:ascii="宋体" w:hAnsi="宋体" w:cs="宋体"/>
          <w:sz w:val="24"/>
          <w:lang w:eastAsia="zh-Hans"/>
        </w:rPr>
        <w:t>指导</w:t>
      </w:r>
      <w:r>
        <w:rPr>
          <w:rFonts w:hint="eastAsia" w:ascii="宋体" w:hAnsi="宋体" w:cs="宋体"/>
          <w:sz w:val="24"/>
        </w:rPr>
        <w:t>工作。测评及整改范围为项目目标所涉及的基础网络环境、主机层面、应用层、数据库层及相关安全辅助设备与管理制度，需要具备等级测评师或网络与信息安全管理员能力人员提供整改咨询指导。服务目标为通过公安部门及相关部门的等级保护检查要求。</w:t>
      </w:r>
    </w:p>
    <w:p>
      <w:pPr>
        <w:spacing w:line="360" w:lineRule="auto"/>
        <w:ind w:firstLine="480" w:firstLineChars="200"/>
        <w:rPr>
          <w:rFonts w:ascii="宋体" w:hAnsi="宋体" w:cs="宋体"/>
          <w:sz w:val="24"/>
        </w:rPr>
      </w:pPr>
      <w:r>
        <w:rPr>
          <w:rFonts w:hint="eastAsia" w:ascii="宋体" w:hAnsi="宋体" w:cs="宋体"/>
          <w:sz w:val="24"/>
        </w:rPr>
        <w:t>2、标准和规范</w:t>
      </w:r>
    </w:p>
    <w:p>
      <w:pPr>
        <w:spacing w:line="360" w:lineRule="auto"/>
        <w:ind w:firstLine="480" w:firstLineChars="200"/>
        <w:rPr>
          <w:rFonts w:ascii="宋体" w:hAnsi="宋体" w:cs="宋体"/>
          <w:sz w:val="24"/>
        </w:rPr>
      </w:pPr>
      <w:r>
        <w:rPr>
          <w:rFonts w:hint="eastAsia" w:ascii="宋体" w:hAnsi="宋体" w:cs="宋体"/>
          <w:sz w:val="24"/>
        </w:rPr>
        <w:t>《GB/T 20272-2019 信息安全技术 操作系统安全技术要求》</w:t>
      </w:r>
    </w:p>
    <w:p>
      <w:pPr>
        <w:spacing w:line="360" w:lineRule="auto"/>
        <w:ind w:firstLine="480" w:firstLineChars="200"/>
        <w:rPr>
          <w:rFonts w:ascii="宋体" w:hAnsi="宋体" w:cs="宋体"/>
          <w:sz w:val="24"/>
        </w:rPr>
      </w:pPr>
      <w:r>
        <w:rPr>
          <w:rFonts w:hint="eastAsia" w:ascii="宋体" w:hAnsi="宋体" w:cs="宋体"/>
          <w:sz w:val="24"/>
        </w:rPr>
        <w:t>《GB/T 20273-2019信息安全技术 数据库管理系统安全技术要求》</w:t>
      </w:r>
    </w:p>
    <w:p>
      <w:pPr>
        <w:spacing w:line="360" w:lineRule="auto"/>
        <w:ind w:firstLine="480" w:firstLineChars="200"/>
        <w:rPr>
          <w:rFonts w:ascii="宋体" w:hAnsi="宋体" w:cs="宋体"/>
          <w:sz w:val="24"/>
        </w:rPr>
      </w:pPr>
      <w:r>
        <w:rPr>
          <w:rFonts w:hint="eastAsia" w:ascii="宋体" w:hAnsi="宋体" w:cs="宋体"/>
          <w:sz w:val="24"/>
        </w:rPr>
        <w:t>《GB/T 22240-2020 信息安全技术 网络安全等级保护定级指南》</w:t>
      </w:r>
    </w:p>
    <w:p>
      <w:pPr>
        <w:spacing w:line="360" w:lineRule="auto"/>
        <w:ind w:firstLine="480" w:firstLineChars="200"/>
        <w:rPr>
          <w:rFonts w:ascii="宋体" w:hAnsi="宋体" w:cs="宋体"/>
          <w:sz w:val="24"/>
        </w:rPr>
      </w:pPr>
      <w:r>
        <w:rPr>
          <w:rFonts w:hint="eastAsia" w:ascii="宋体" w:hAnsi="宋体" w:cs="宋体"/>
          <w:sz w:val="24"/>
        </w:rPr>
        <w:t>《GB/T 22239-2019 信息安全技术 网络安全等级保护基本要求》</w:t>
      </w:r>
    </w:p>
    <w:p>
      <w:pPr>
        <w:spacing w:line="360" w:lineRule="auto"/>
        <w:ind w:firstLine="480" w:firstLineChars="200"/>
        <w:rPr>
          <w:rFonts w:ascii="宋体" w:hAnsi="宋体" w:cs="宋体"/>
          <w:sz w:val="24"/>
        </w:rPr>
      </w:pPr>
      <w:r>
        <w:rPr>
          <w:rFonts w:hint="eastAsia" w:ascii="宋体" w:hAnsi="宋体" w:cs="宋体"/>
          <w:sz w:val="24"/>
        </w:rPr>
        <w:t>《GB/T 25070-2019 信息安全技术 网络安全等级保护设计技术要求》</w:t>
      </w:r>
    </w:p>
    <w:p>
      <w:pPr>
        <w:spacing w:line="360" w:lineRule="auto"/>
        <w:ind w:firstLine="480" w:firstLineChars="200"/>
        <w:rPr>
          <w:rFonts w:ascii="宋体" w:hAnsi="宋体" w:cs="宋体"/>
          <w:sz w:val="24"/>
        </w:rPr>
      </w:pPr>
      <w:r>
        <w:rPr>
          <w:rFonts w:hint="eastAsia" w:ascii="宋体" w:hAnsi="宋体" w:cs="宋体"/>
          <w:sz w:val="24"/>
        </w:rPr>
        <w:t>《GB/T 28448-2019 信息安全技术 网络安全等级保护测评要求》</w:t>
      </w:r>
    </w:p>
    <w:p>
      <w:pPr>
        <w:spacing w:line="360" w:lineRule="auto"/>
        <w:ind w:firstLine="480" w:firstLineChars="200"/>
        <w:rPr>
          <w:rFonts w:ascii="宋体" w:hAnsi="宋体" w:cs="宋体"/>
          <w:sz w:val="24"/>
        </w:rPr>
      </w:pPr>
      <w:r>
        <w:rPr>
          <w:rFonts w:hint="eastAsia" w:ascii="宋体" w:hAnsi="宋体" w:cs="宋体"/>
          <w:sz w:val="24"/>
        </w:rPr>
        <w:t>《信息安全等级保护管理办法》（公通字[2007]43号文件）</w:t>
      </w:r>
    </w:p>
    <w:p>
      <w:pPr>
        <w:spacing w:line="360" w:lineRule="auto"/>
        <w:ind w:firstLine="480" w:firstLineChars="200"/>
        <w:rPr>
          <w:rFonts w:ascii="宋体" w:hAnsi="宋体" w:cs="宋体"/>
          <w:sz w:val="24"/>
        </w:rPr>
      </w:pPr>
      <w:r>
        <w:rPr>
          <w:rFonts w:hint="eastAsia" w:ascii="宋体" w:hAnsi="宋体" w:cs="宋体"/>
          <w:sz w:val="24"/>
        </w:rPr>
        <w:t>《信息安全等级保护备案实施细则》（公信安[2007]1360 号）</w:t>
      </w:r>
    </w:p>
    <w:p>
      <w:pPr>
        <w:spacing w:line="360" w:lineRule="auto"/>
        <w:ind w:firstLine="480" w:firstLineChars="200"/>
        <w:rPr>
          <w:rFonts w:ascii="宋体" w:hAnsi="宋体" w:cs="宋体"/>
          <w:sz w:val="24"/>
        </w:rPr>
      </w:pPr>
      <w:r>
        <w:rPr>
          <w:rFonts w:hint="eastAsia" w:ascii="宋体" w:hAnsi="宋体" w:cs="宋体"/>
          <w:sz w:val="24"/>
        </w:rPr>
        <w:t>3、实施原则</w:t>
      </w:r>
    </w:p>
    <w:p>
      <w:pPr>
        <w:spacing w:line="360" w:lineRule="auto"/>
        <w:ind w:firstLine="480" w:firstLineChars="200"/>
        <w:rPr>
          <w:rFonts w:ascii="宋体" w:hAnsi="宋体" w:cs="宋体"/>
          <w:sz w:val="24"/>
        </w:rPr>
      </w:pPr>
      <w:r>
        <w:rPr>
          <w:rFonts w:hint="eastAsia" w:ascii="宋体" w:hAnsi="宋体" w:cs="宋体"/>
          <w:sz w:val="24"/>
        </w:rPr>
        <w:t>本项目实施方案设计与具体实施必须满足以下原则：</w:t>
      </w:r>
    </w:p>
    <w:p>
      <w:pPr>
        <w:spacing w:line="360" w:lineRule="auto"/>
        <w:ind w:firstLine="480" w:firstLineChars="200"/>
        <w:rPr>
          <w:rFonts w:ascii="宋体" w:hAnsi="宋体" w:cs="宋体"/>
          <w:sz w:val="24"/>
        </w:rPr>
      </w:pPr>
      <w:r>
        <w:rPr>
          <w:rFonts w:hint="eastAsia" w:ascii="宋体" w:hAnsi="宋体" w:cs="宋体"/>
          <w:sz w:val="24"/>
        </w:rPr>
        <w:t>（1）保密原则：对测评的过程数据和结果数据严格保密，未经授权不得泄露给任何单位和个人，不得利用此数据进行任何侵害招标方的行为。</w:t>
      </w:r>
    </w:p>
    <w:p>
      <w:pPr>
        <w:spacing w:line="360" w:lineRule="auto"/>
        <w:ind w:firstLine="480" w:firstLineChars="200"/>
        <w:rPr>
          <w:rFonts w:ascii="宋体" w:hAnsi="宋体" w:cs="宋体"/>
          <w:sz w:val="24"/>
        </w:rPr>
      </w:pPr>
      <w:r>
        <w:rPr>
          <w:rFonts w:hint="eastAsia" w:ascii="宋体" w:hAnsi="宋体" w:cs="宋体"/>
          <w:sz w:val="24"/>
        </w:rPr>
        <w:t>（2）标准性原则：测评方案的设计与实施应依据国家信息系统安全等级保护的相关标准进行。</w:t>
      </w:r>
    </w:p>
    <w:p>
      <w:pPr>
        <w:spacing w:line="360" w:lineRule="auto"/>
        <w:ind w:firstLine="480" w:firstLineChars="200"/>
        <w:rPr>
          <w:rFonts w:ascii="宋体" w:hAnsi="宋体" w:cs="宋体"/>
          <w:sz w:val="24"/>
        </w:rPr>
      </w:pPr>
      <w:r>
        <w:rPr>
          <w:rFonts w:hint="eastAsia" w:ascii="宋体" w:hAnsi="宋体" w:cs="宋体"/>
          <w:sz w:val="24"/>
        </w:rPr>
        <w:t>（3）规范性原则：工作中的过程和文档，具有很好的规范性，可以便于项目的跟踪和控制。</w:t>
      </w:r>
    </w:p>
    <w:p>
      <w:pPr>
        <w:spacing w:line="360" w:lineRule="auto"/>
        <w:ind w:firstLine="480" w:firstLineChars="200"/>
        <w:rPr>
          <w:rFonts w:ascii="宋体" w:hAnsi="宋体" w:cs="宋体"/>
          <w:sz w:val="24"/>
        </w:rPr>
      </w:pPr>
      <w:r>
        <w:rPr>
          <w:rFonts w:hint="eastAsia" w:ascii="宋体" w:hAnsi="宋体" w:cs="宋体"/>
          <w:sz w:val="24"/>
        </w:rPr>
        <w:t>（4）可控性原则：项目安排工作进度要跟上进度表的安排，保证工作的可控性。</w:t>
      </w:r>
    </w:p>
    <w:p>
      <w:pPr>
        <w:spacing w:line="360" w:lineRule="auto"/>
        <w:ind w:firstLine="480" w:firstLineChars="200"/>
        <w:rPr>
          <w:rFonts w:ascii="宋体" w:hAnsi="宋体" w:cs="宋体"/>
          <w:sz w:val="24"/>
        </w:rPr>
      </w:pPr>
      <w:r>
        <w:rPr>
          <w:rFonts w:hint="eastAsia" w:ascii="宋体" w:hAnsi="宋体" w:cs="宋体"/>
          <w:sz w:val="24"/>
        </w:rPr>
        <w:t>（5）最小影响原则：测评工作应尽可能小的影响系统和网络，并在可控范围内；测评工作不能对现有信息系统的正常运行、业务的正常开展产生任何影响。</w:t>
      </w:r>
    </w:p>
    <w:p>
      <w:pPr>
        <w:spacing w:line="360" w:lineRule="auto"/>
        <w:ind w:firstLine="480" w:firstLineChars="200"/>
        <w:rPr>
          <w:rFonts w:ascii="宋体" w:hAnsi="宋体" w:cs="宋体"/>
          <w:sz w:val="24"/>
        </w:rPr>
      </w:pPr>
      <w:r>
        <w:rPr>
          <w:rFonts w:hint="eastAsia" w:ascii="宋体" w:hAnsi="宋体" w:cs="宋体"/>
          <w:sz w:val="24"/>
        </w:rPr>
        <w:t>（6）整体性原则：测评的范围和内容应当整体全面，包括国家等级保护相关要求涉及的各个层面。</w:t>
      </w:r>
    </w:p>
    <w:p>
      <w:pPr>
        <w:spacing w:line="360" w:lineRule="auto"/>
        <w:ind w:firstLine="480" w:firstLineChars="200"/>
        <w:rPr>
          <w:rFonts w:ascii="宋体" w:hAnsi="宋体" w:cs="宋体"/>
          <w:sz w:val="24"/>
        </w:rPr>
      </w:pPr>
      <w:r>
        <w:rPr>
          <w:rFonts w:hint="eastAsia" w:ascii="宋体" w:hAnsi="宋体" w:cs="宋体"/>
          <w:sz w:val="24"/>
        </w:rPr>
        <w:t>4、整体要求</w:t>
      </w:r>
    </w:p>
    <w:p>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rPr>
        <w:t>1、供应商应详细描述本次信息系统安全等级保护测评的整体实施方案，包括项目概述、等级保护测评方案、测试过程中需使用测试设备清单、时间安排、阶段性文档提交等。</w:t>
      </w:r>
    </w:p>
    <w:p>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、本次信息系统安全等级保护测评实施过程中所使用到的各种工具软件由供应商推荐，经采购人确认后由投标人提供并在信息系统等级保护测评中使用。</w:t>
      </w:r>
    </w:p>
    <w:p>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、信息系统安全等级保护测评需要的运行环境（如场地、网络环境等）由招标人提供，供应商应详细描述需要的运行环境的具体要求。</w:t>
      </w:r>
    </w:p>
    <w:p>
      <w:pPr>
        <w:spacing w:line="360" w:lineRule="auto"/>
        <w:rPr>
          <w:rFonts w:ascii="宋体" w:hAnsi="宋体"/>
          <w:b/>
          <w:bCs/>
          <w:sz w:val="24"/>
        </w:rPr>
      </w:pPr>
      <w:r>
        <w:rPr>
          <w:rFonts w:hint="eastAsia" w:ascii="宋体" w:hAnsi="宋体"/>
          <w:b/>
          <w:bCs/>
          <w:sz w:val="24"/>
        </w:rPr>
        <w:t>三、其他要求</w:t>
      </w:r>
    </w:p>
    <w:p>
      <w:pPr>
        <w:autoSpaceDE w:val="0"/>
        <w:autoSpaceDN w:val="0"/>
        <w:spacing w:line="360" w:lineRule="auto"/>
        <w:ind w:left="149" w:firstLine="420"/>
        <w:jc w:val="left"/>
        <w:rPr>
          <w:rFonts w:ascii="宋体" w:hAnsi="宋体" w:cs="宋体"/>
          <w:b/>
          <w:bCs/>
          <w:kern w:val="0"/>
          <w:sz w:val="20"/>
          <w:szCs w:val="20"/>
        </w:rPr>
      </w:pPr>
      <w:r>
        <w:rPr>
          <w:rFonts w:hint="eastAsia" w:ascii="宋体" w:hAnsi="宋体" w:cs="宋体"/>
          <w:b/>
          <w:bCs/>
          <w:kern w:val="0"/>
          <w:sz w:val="24"/>
        </w:rPr>
        <w:t>1、安全管理要求</w:t>
      </w:r>
    </w:p>
    <w:p>
      <w:pPr>
        <w:spacing w:line="360" w:lineRule="auto"/>
        <w:ind w:firstLine="480" w:firstLineChars="200"/>
        <w:rPr>
          <w:rFonts w:ascii="Calibri" w:hAnsi="Calibri"/>
          <w:sz w:val="20"/>
        </w:rPr>
      </w:pPr>
      <w:r>
        <w:rPr>
          <w:rFonts w:ascii="宋体" w:hAnsi="宋体"/>
          <w:sz w:val="24"/>
        </w:rPr>
        <w:t>为做好全过程的安全保密工作，在等级保护测评前、中、后三个阶段都要做好安全保密工作。</w:t>
      </w:r>
    </w:p>
    <w:p>
      <w:pPr>
        <w:autoSpaceDE w:val="0"/>
        <w:autoSpaceDN w:val="0"/>
        <w:spacing w:line="360" w:lineRule="auto"/>
        <w:ind w:firstLine="480" w:firstLineChars="200"/>
        <w:jc w:val="left"/>
        <w:rPr>
          <w:rFonts w:ascii="宋体" w:hAnsi="宋体" w:cs="宋体"/>
          <w:kern w:val="0"/>
          <w:sz w:val="24"/>
        </w:rPr>
      </w:pPr>
      <w:r>
        <w:rPr>
          <w:rFonts w:hint="eastAsia" w:ascii="宋体" w:hAnsi="宋体" w:cs="宋体"/>
          <w:bCs/>
          <w:kern w:val="0"/>
          <w:sz w:val="24"/>
        </w:rPr>
        <w:t>A、等级保护测评前</w:t>
      </w:r>
    </w:p>
    <w:p>
      <w:pPr>
        <w:numPr>
          <w:ilvl w:val="0"/>
          <w:numId w:val="5"/>
        </w:numPr>
        <w:autoSpaceDE w:val="0"/>
        <w:autoSpaceDN w:val="0"/>
        <w:spacing w:line="360" w:lineRule="auto"/>
        <w:ind w:left="0" w:firstLine="480" w:firstLineChars="200"/>
        <w:jc w:val="left"/>
        <w:rPr>
          <w:rFonts w:ascii="宋体" w:hAnsi="宋体" w:cs="宋体"/>
          <w:kern w:val="0"/>
          <w:sz w:val="24"/>
        </w:rPr>
      </w:pPr>
      <w:r>
        <w:rPr>
          <w:rFonts w:hint="eastAsia" w:ascii="宋体" w:hAnsi="宋体" w:cs="宋体"/>
          <w:kern w:val="0"/>
          <w:sz w:val="24"/>
        </w:rPr>
        <w:t>对等级保护测评人员要进行安全保密教育，制定安全保密措施；</w:t>
      </w:r>
    </w:p>
    <w:p>
      <w:pPr>
        <w:numPr>
          <w:ilvl w:val="0"/>
          <w:numId w:val="5"/>
        </w:numPr>
        <w:autoSpaceDE w:val="0"/>
        <w:autoSpaceDN w:val="0"/>
        <w:spacing w:line="360" w:lineRule="auto"/>
        <w:ind w:left="0" w:firstLine="480" w:firstLineChars="200"/>
        <w:jc w:val="left"/>
        <w:rPr>
          <w:rFonts w:ascii="宋体" w:hAnsi="宋体" w:cs="宋体"/>
          <w:kern w:val="0"/>
          <w:sz w:val="24"/>
        </w:rPr>
      </w:pPr>
      <w:r>
        <w:rPr>
          <w:rFonts w:hint="eastAsia" w:ascii="宋体" w:hAnsi="宋体" w:cs="宋体"/>
          <w:kern w:val="0"/>
          <w:sz w:val="24"/>
        </w:rPr>
        <w:t>签订安全保密协议。</w:t>
      </w:r>
    </w:p>
    <w:p>
      <w:pPr>
        <w:autoSpaceDE w:val="0"/>
        <w:autoSpaceDN w:val="0"/>
        <w:spacing w:line="360" w:lineRule="auto"/>
        <w:ind w:left="569"/>
        <w:jc w:val="left"/>
        <w:rPr>
          <w:rFonts w:ascii="宋体" w:hAnsi="宋体" w:cs="宋体"/>
          <w:bCs/>
          <w:kern w:val="0"/>
          <w:sz w:val="20"/>
          <w:szCs w:val="20"/>
        </w:rPr>
      </w:pPr>
      <w:r>
        <w:rPr>
          <w:rFonts w:hint="eastAsia" w:ascii="宋体" w:hAnsi="宋体" w:cs="宋体"/>
          <w:bCs/>
          <w:kern w:val="0"/>
          <w:sz w:val="24"/>
        </w:rPr>
        <w:t>B、等级保护测评中</w:t>
      </w:r>
    </w:p>
    <w:p>
      <w:pPr>
        <w:numPr>
          <w:ilvl w:val="0"/>
          <w:numId w:val="6"/>
        </w:numPr>
        <w:autoSpaceDE w:val="0"/>
        <w:autoSpaceDN w:val="0"/>
        <w:spacing w:line="360" w:lineRule="auto"/>
        <w:ind w:left="0" w:firstLine="480" w:firstLineChars="200"/>
        <w:jc w:val="left"/>
        <w:rPr>
          <w:rFonts w:ascii="宋体" w:hAnsi="宋体" w:cs="宋体"/>
          <w:kern w:val="0"/>
          <w:sz w:val="24"/>
        </w:rPr>
      </w:pPr>
      <w:r>
        <w:rPr>
          <w:rFonts w:hint="eastAsia" w:ascii="宋体" w:hAnsi="宋体" w:cs="宋体"/>
          <w:kern w:val="0"/>
          <w:sz w:val="24"/>
        </w:rPr>
        <w:t>对被测单位的性质、机房物理位置、网络与系统、应用与服务、资料与数据、人员与管理等方面的信息进行严格的安全保密管理；</w:t>
      </w:r>
    </w:p>
    <w:p>
      <w:pPr>
        <w:numPr>
          <w:ilvl w:val="0"/>
          <w:numId w:val="6"/>
        </w:numPr>
        <w:autoSpaceDE w:val="0"/>
        <w:autoSpaceDN w:val="0"/>
        <w:spacing w:line="360" w:lineRule="auto"/>
        <w:ind w:left="0" w:firstLine="480" w:firstLineChars="200"/>
        <w:jc w:val="left"/>
        <w:rPr>
          <w:rFonts w:ascii="宋体" w:hAnsi="宋体" w:cs="宋体"/>
          <w:kern w:val="0"/>
          <w:sz w:val="24"/>
        </w:rPr>
      </w:pPr>
      <w:r>
        <w:rPr>
          <w:rFonts w:hint="eastAsia" w:ascii="宋体" w:hAnsi="宋体" w:cs="宋体"/>
          <w:kern w:val="0"/>
          <w:sz w:val="24"/>
        </w:rPr>
        <w:t>等级保护测评工具应经过严格测试和检验，确保不对被测评系统造成损失，工作结束后不驻留任何程序；</w:t>
      </w:r>
    </w:p>
    <w:p>
      <w:pPr>
        <w:numPr>
          <w:ilvl w:val="0"/>
          <w:numId w:val="6"/>
        </w:numPr>
        <w:autoSpaceDE w:val="0"/>
        <w:autoSpaceDN w:val="0"/>
        <w:spacing w:line="360" w:lineRule="auto"/>
        <w:ind w:left="0" w:firstLine="480" w:firstLineChars="200"/>
        <w:jc w:val="left"/>
        <w:rPr>
          <w:rFonts w:ascii="宋体" w:hAnsi="宋体" w:cs="宋体"/>
          <w:kern w:val="0"/>
          <w:sz w:val="24"/>
        </w:rPr>
      </w:pPr>
      <w:r>
        <w:rPr>
          <w:rFonts w:hint="eastAsia" w:ascii="宋体" w:hAnsi="宋体" w:cs="宋体"/>
          <w:kern w:val="0"/>
          <w:sz w:val="24"/>
        </w:rPr>
        <w:t>对被测单位信息系统的信息资产、发现的脆弱性和发生过的安全事件等威胁情况要控制知情范围；</w:t>
      </w:r>
    </w:p>
    <w:p>
      <w:pPr>
        <w:numPr>
          <w:ilvl w:val="0"/>
          <w:numId w:val="6"/>
        </w:numPr>
        <w:autoSpaceDE w:val="0"/>
        <w:autoSpaceDN w:val="0"/>
        <w:spacing w:line="360" w:lineRule="auto"/>
        <w:ind w:left="0" w:firstLine="480" w:firstLineChars="200"/>
        <w:jc w:val="left"/>
        <w:rPr>
          <w:rFonts w:ascii="宋体" w:hAnsi="宋体" w:cs="宋体"/>
          <w:kern w:val="0"/>
          <w:sz w:val="24"/>
        </w:rPr>
      </w:pPr>
      <w:r>
        <w:rPr>
          <w:rFonts w:hint="eastAsia" w:ascii="宋体" w:hAnsi="宋体" w:cs="宋体"/>
          <w:kern w:val="0"/>
          <w:sz w:val="24"/>
        </w:rPr>
        <w:t>对测评设备、介质进行严格的保密管理；</w:t>
      </w:r>
    </w:p>
    <w:p>
      <w:pPr>
        <w:numPr>
          <w:ilvl w:val="0"/>
          <w:numId w:val="6"/>
        </w:numPr>
        <w:autoSpaceDE w:val="0"/>
        <w:autoSpaceDN w:val="0"/>
        <w:spacing w:line="360" w:lineRule="auto"/>
        <w:ind w:left="0" w:firstLine="480" w:firstLineChars="200"/>
        <w:jc w:val="left"/>
        <w:rPr>
          <w:rFonts w:ascii="宋体" w:hAnsi="宋体" w:cs="宋体"/>
          <w:kern w:val="0"/>
          <w:sz w:val="24"/>
        </w:rPr>
      </w:pPr>
      <w:r>
        <w:rPr>
          <w:rFonts w:hint="eastAsia" w:ascii="宋体" w:hAnsi="宋体" w:cs="宋体"/>
          <w:kern w:val="0"/>
          <w:sz w:val="24"/>
        </w:rPr>
        <w:t>工作过程中对人员要实施封闭式集中管理；</w:t>
      </w:r>
    </w:p>
    <w:p>
      <w:pPr>
        <w:numPr>
          <w:ilvl w:val="0"/>
          <w:numId w:val="6"/>
        </w:numPr>
        <w:autoSpaceDE w:val="0"/>
        <w:autoSpaceDN w:val="0"/>
        <w:spacing w:line="360" w:lineRule="auto"/>
        <w:ind w:left="0" w:firstLine="480" w:firstLineChars="200"/>
        <w:jc w:val="left"/>
        <w:rPr>
          <w:rFonts w:ascii="宋体" w:hAnsi="宋体" w:cs="宋体"/>
          <w:kern w:val="0"/>
          <w:sz w:val="24"/>
        </w:rPr>
      </w:pPr>
      <w:r>
        <w:rPr>
          <w:rFonts w:hint="eastAsia" w:ascii="宋体" w:hAnsi="宋体" w:cs="宋体"/>
          <w:kern w:val="0"/>
          <w:sz w:val="24"/>
        </w:rPr>
        <w:t>对进场人员遵守被测单位的相关管理规定。</w:t>
      </w:r>
    </w:p>
    <w:p>
      <w:pPr>
        <w:autoSpaceDE w:val="0"/>
        <w:autoSpaceDN w:val="0"/>
        <w:spacing w:line="360" w:lineRule="auto"/>
        <w:ind w:left="569"/>
        <w:jc w:val="left"/>
        <w:rPr>
          <w:rFonts w:ascii="宋体" w:hAnsi="宋体" w:cs="宋体"/>
          <w:bCs/>
          <w:kern w:val="0"/>
          <w:sz w:val="20"/>
          <w:szCs w:val="20"/>
        </w:rPr>
      </w:pPr>
      <w:r>
        <w:rPr>
          <w:rFonts w:hint="eastAsia" w:ascii="宋体" w:hAnsi="宋体" w:cs="宋体"/>
          <w:bCs/>
          <w:kern w:val="0"/>
          <w:sz w:val="24"/>
        </w:rPr>
        <w:t>C、等级保护测评后</w:t>
      </w:r>
    </w:p>
    <w:p>
      <w:pPr>
        <w:numPr>
          <w:ilvl w:val="0"/>
          <w:numId w:val="7"/>
        </w:numPr>
        <w:autoSpaceDE w:val="0"/>
        <w:autoSpaceDN w:val="0"/>
        <w:spacing w:line="360" w:lineRule="auto"/>
        <w:ind w:left="0" w:firstLine="480" w:firstLineChars="200"/>
        <w:jc w:val="left"/>
        <w:rPr>
          <w:rFonts w:ascii="宋体" w:hAnsi="宋体" w:cs="宋体"/>
          <w:kern w:val="0"/>
          <w:sz w:val="24"/>
        </w:rPr>
      </w:pPr>
      <w:r>
        <w:rPr>
          <w:rFonts w:hint="eastAsia" w:ascii="宋体" w:hAnsi="宋体" w:cs="宋体"/>
          <w:kern w:val="0"/>
          <w:sz w:val="24"/>
        </w:rPr>
        <w:t>认真清退各种文档、资料和数据并予以销毁，确保工作过程中敏感数据不被泄漏；</w:t>
      </w:r>
    </w:p>
    <w:p>
      <w:pPr>
        <w:numPr>
          <w:ilvl w:val="0"/>
          <w:numId w:val="7"/>
        </w:numPr>
        <w:autoSpaceDE w:val="0"/>
        <w:autoSpaceDN w:val="0"/>
        <w:spacing w:line="360" w:lineRule="auto"/>
        <w:ind w:left="0" w:firstLine="480" w:firstLineChars="200"/>
        <w:jc w:val="left"/>
        <w:rPr>
          <w:rFonts w:ascii="宋体" w:hAnsi="宋体" w:cs="宋体"/>
          <w:kern w:val="0"/>
          <w:sz w:val="24"/>
        </w:rPr>
      </w:pPr>
      <w:r>
        <w:rPr>
          <w:rFonts w:hint="eastAsia" w:ascii="宋体" w:hAnsi="宋体" w:cs="宋体"/>
          <w:kern w:val="0"/>
          <w:sz w:val="24"/>
        </w:rPr>
        <w:t>现场工作结束后，按被测单位的要求及时还原系统，确保系统中不遗留任何代码或可执行程序；</w:t>
      </w:r>
    </w:p>
    <w:p>
      <w:pPr>
        <w:numPr>
          <w:ilvl w:val="0"/>
          <w:numId w:val="7"/>
        </w:numPr>
        <w:autoSpaceDE w:val="0"/>
        <w:autoSpaceDN w:val="0"/>
        <w:spacing w:line="360" w:lineRule="auto"/>
        <w:ind w:left="0" w:firstLine="480" w:firstLineChars="200"/>
        <w:jc w:val="left"/>
        <w:rPr>
          <w:rFonts w:ascii="宋体" w:hAnsi="宋体" w:cs="宋体"/>
          <w:kern w:val="0"/>
          <w:sz w:val="24"/>
        </w:rPr>
      </w:pPr>
      <w:r>
        <w:rPr>
          <w:rFonts w:hint="eastAsia" w:ascii="宋体" w:hAnsi="宋体" w:cs="宋体"/>
          <w:kern w:val="0"/>
          <w:sz w:val="24"/>
        </w:rPr>
        <w:t>在其他风险测评任务或宣传材料中不涉及被测单位的秘密、敏感情况。</w:t>
      </w:r>
    </w:p>
    <w:p>
      <w:pPr>
        <w:autoSpaceDE w:val="0"/>
        <w:autoSpaceDN w:val="0"/>
        <w:spacing w:line="360" w:lineRule="auto"/>
        <w:ind w:left="567"/>
        <w:jc w:val="left"/>
        <w:rPr>
          <w:rFonts w:ascii="宋体" w:hAnsi="宋体" w:cs="宋体"/>
          <w:kern w:val="0"/>
          <w:sz w:val="24"/>
        </w:rPr>
      </w:pPr>
      <w:r>
        <w:rPr>
          <w:rFonts w:hint="eastAsia" w:ascii="宋体" w:hAnsi="宋体" w:cs="宋体"/>
          <w:b/>
          <w:bCs/>
          <w:kern w:val="0"/>
          <w:sz w:val="24"/>
        </w:rPr>
        <w:t>2、测评风险规避要求</w:t>
      </w:r>
    </w:p>
    <w:p>
      <w:pPr>
        <w:spacing w:line="360" w:lineRule="auto"/>
        <w:ind w:firstLine="480" w:firstLineChars="200"/>
        <w:rPr>
          <w:rFonts w:ascii="Calibri" w:hAnsi="Calibri"/>
          <w:sz w:val="24"/>
        </w:rPr>
      </w:pPr>
      <w:r>
        <w:rPr>
          <w:rFonts w:ascii="宋体" w:hAnsi="宋体"/>
          <w:sz w:val="24"/>
        </w:rPr>
        <w:t>项目开展工作涉及到单位重要信息系统和数据，在测评过程中必须加强安全保密管理与风险控制。</w:t>
      </w:r>
    </w:p>
    <w:p>
      <w:pPr>
        <w:spacing w:line="360" w:lineRule="auto"/>
        <w:ind w:firstLine="480" w:firstLineChars="200"/>
        <w:rPr>
          <w:rFonts w:ascii="Calibri" w:hAnsi="Calibri"/>
          <w:sz w:val="24"/>
        </w:rPr>
      </w:pPr>
      <w:r>
        <w:rPr>
          <w:rFonts w:ascii="宋体" w:hAnsi="宋体"/>
          <w:sz w:val="24"/>
        </w:rPr>
        <w:t>指定项目经理</w:t>
      </w:r>
      <w:r>
        <w:rPr>
          <w:rFonts w:hint="eastAsia" w:ascii="宋体" w:hAnsi="宋体"/>
          <w:sz w:val="24"/>
        </w:rPr>
        <w:t>（具有高级测评师或注册信息系统安全专业人员证书（CISP或CISSP））</w:t>
      </w:r>
      <w:r>
        <w:rPr>
          <w:rFonts w:ascii="宋体" w:hAnsi="宋体"/>
          <w:sz w:val="24"/>
        </w:rPr>
        <w:t>为专人负责信息安全测评过程中的安全保密管理工作，对测评活动、测评人员以及相关文档和数据进行安全保密管理，对重点设备的技术检测进行监督，对接入的检测设备进行控制。</w:t>
      </w:r>
    </w:p>
    <w:p>
      <w:pPr>
        <w:spacing w:line="360" w:lineRule="auto"/>
        <w:ind w:firstLine="480" w:firstLineChars="200"/>
        <w:rPr>
          <w:rFonts w:ascii="Calibri" w:hAnsi="Calibri"/>
          <w:sz w:val="24"/>
        </w:rPr>
      </w:pPr>
      <w:r>
        <w:rPr>
          <w:rFonts w:ascii="宋体" w:hAnsi="宋体"/>
          <w:sz w:val="24"/>
        </w:rPr>
        <w:t>安全测评工作中可能出现的安全风险点，按照检测对象周密制定测评方法，根据被测评对象的不同采取相应的风险控制手段。不限于以下方法：</w:t>
      </w:r>
    </w:p>
    <w:p>
      <w:pPr>
        <w:spacing w:line="360" w:lineRule="auto"/>
        <w:ind w:firstLine="480" w:firstLineChars="200"/>
        <w:rPr>
          <w:rFonts w:ascii="Calibri" w:hAnsi="Calibri"/>
          <w:sz w:val="24"/>
        </w:rPr>
      </w:pPr>
      <w:r>
        <w:rPr>
          <w:rFonts w:hint="eastAsia" w:ascii="宋体" w:hAnsi="宋体"/>
          <w:sz w:val="24"/>
        </w:rPr>
        <w:t>（1）</w:t>
      </w:r>
      <w:r>
        <w:rPr>
          <w:rFonts w:ascii="宋体" w:hAnsi="宋体"/>
          <w:sz w:val="24"/>
        </w:rPr>
        <w:t>操作的申请和监护</w:t>
      </w:r>
    </w:p>
    <w:p>
      <w:pPr>
        <w:spacing w:line="360" w:lineRule="auto"/>
        <w:ind w:firstLine="480" w:firstLineChars="200"/>
        <w:rPr>
          <w:rFonts w:ascii="Calibri" w:hAnsi="Calibri"/>
          <w:sz w:val="24"/>
        </w:rPr>
      </w:pPr>
      <w:r>
        <w:rPr>
          <w:rFonts w:ascii="宋体" w:hAnsi="宋体"/>
          <w:sz w:val="24"/>
        </w:rPr>
        <w:t>在实施过程中必须遵守的相关操作章程，以防止敏感信息泄漏和确保及时处理意外事件。</w:t>
      </w:r>
    </w:p>
    <w:p>
      <w:pPr>
        <w:spacing w:line="360" w:lineRule="auto"/>
        <w:ind w:firstLine="480" w:firstLineChars="200"/>
        <w:rPr>
          <w:rFonts w:ascii="Calibri" w:hAnsi="Calibri"/>
          <w:sz w:val="24"/>
        </w:rPr>
      </w:pPr>
      <w:r>
        <w:rPr>
          <w:rFonts w:hint="eastAsia" w:ascii="宋体" w:hAnsi="宋体"/>
          <w:sz w:val="24"/>
        </w:rPr>
        <w:t>（2）</w:t>
      </w:r>
      <w:r>
        <w:rPr>
          <w:rFonts w:ascii="宋体" w:hAnsi="宋体"/>
          <w:sz w:val="24"/>
        </w:rPr>
        <w:t>操作时间控制</w:t>
      </w:r>
    </w:p>
    <w:p>
      <w:pPr>
        <w:spacing w:line="360" w:lineRule="auto"/>
        <w:ind w:left="480"/>
        <w:rPr>
          <w:rFonts w:ascii="Calibri" w:hAnsi="Calibri"/>
          <w:sz w:val="24"/>
        </w:rPr>
      </w:pPr>
      <w:r>
        <w:rPr>
          <w:rFonts w:ascii="宋体" w:hAnsi="宋体"/>
          <w:sz w:val="24"/>
        </w:rPr>
        <w:t>对测评直接影响系统工作时，尽可能避开敏感时期。</w:t>
      </w:r>
    </w:p>
    <w:p>
      <w:pPr>
        <w:spacing w:line="360" w:lineRule="auto"/>
        <w:ind w:firstLine="480" w:firstLineChars="200"/>
        <w:rPr>
          <w:rFonts w:ascii="Calibri" w:hAnsi="Calibri"/>
          <w:sz w:val="24"/>
        </w:rPr>
      </w:pPr>
      <w:r>
        <w:rPr>
          <w:rFonts w:hint="eastAsia" w:ascii="宋体" w:hAnsi="宋体"/>
          <w:sz w:val="24"/>
        </w:rPr>
        <w:t>（3）</w:t>
      </w:r>
      <w:r>
        <w:rPr>
          <w:rFonts w:ascii="宋体" w:hAnsi="宋体"/>
          <w:sz w:val="24"/>
        </w:rPr>
        <w:t>人员与数据管理</w:t>
      </w:r>
    </w:p>
    <w:p>
      <w:pPr>
        <w:spacing w:line="360" w:lineRule="auto"/>
        <w:ind w:firstLine="480" w:firstLineChars="200"/>
        <w:rPr>
          <w:rFonts w:ascii="Calibri" w:hAnsi="Calibri"/>
          <w:sz w:val="24"/>
        </w:rPr>
      </w:pPr>
      <w:r>
        <w:rPr>
          <w:rFonts w:ascii="宋体" w:hAnsi="宋体"/>
          <w:sz w:val="24"/>
        </w:rPr>
        <w:t>必须高度重视信息保密工作，加强资料管理，确保人员可靠、稳定和可控。测评与被测评单位之间应签署长期保密协议，测评人员与被测评单位之间也要有相应的约束和控制措施，按国家有关要求做好保密工作。</w:t>
      </w:r>
    </w:p>
    <w:p>
      <w:pPr>
        <w:spacing w:line="360" w:lineRule="auto"/>
        <w:ind w:firstLine="480" w:firstLineChars="200"/>
        <w:rPr>
          <w:rFonts w:ascii="Calibri" w:hAnsi="Calibri"/>
          <w:sz w:val="24"/>
        </w:rPr>
      </w:pPr>
      <w:r>
        <w:rPr>
          <w:rFonts w:hint="eastAsia" w:ascii="宋体" w:hAnsi="宋体"/>
          <w:sz w:val="24"/>
        </w:rPr>
        <w:t>（4）</w:t>
      </w:r>
      <w:r>
        <w:rPr>
          <w:rFonts w:ascii="宋体" w:hAnsi="宋体"/>
          <w:sz w:val="24"/>
        </w:rPr>
        <w:t>制定应急预案</w:t>
      </w:r>
    </w:p>
    <w:p>
      <w:pPr>
        <w:spacing w:line="360" w:lineRule="auto"/>
        <w:ind w:left="480"/>
        <w:rPr>
          <w:rFonts w:ascii="Calibri" w:hAnsi="Calibri"/>
          <w:sz w:val="24"/>
        </w:rPr>
      </w:pPr>
      <w:r>
        <w:rPr>
          <w:rFonts w:ascii="宋体" w:hAnsi="宋体"/>
          <w:sz w:val="24"/>
        </w:rPr>
        <w:t>根据测评范围界定的系统情况，在实施前制定应急预案。</w:t>
      </w:r>
    </w:p>
    <w:p>
      <w:pPr>
        <w:spacing w:line="360" w:lineRule="auto"/>
        <w:ind w:firstLine="480" w:firstLineChars="200"/>
        <w:rPr>
          <w:rFonts w:ascii="Calibri" w:hAnsi="Calibri"/>
          <w:sz w:val="24"/>
        </w:rPr>
      </w:pPr>
      <w:r>
        <w:rPr>
          <w:rFonts w:hint="eastAsia" w:ascii="宋体" w:hAnsi="宋体"/>
          <w:sz w:val="24"/>
        </w:rPr>
        <w:t>（5）</w:t>
      </w:r>
      <w:r>
        <w:rPr>
          <w:rFonts w:ascii="宋体" w:hAnsi="宋体"/>
          <w:sz w:val="24"/>
        </w:rPr>
        <w:t>关键业务系统风险控制</w:t>
      </w:r>
    </w:p>
    <w:p>
      <w:pPr>
        <w:spacing w:line="360" w:lineRule="auto"/>
        <w:ind w:firstLine="480" w:firstLineChars="200"/>
        <w:rPr>
          <w:rFonts w:ascii="Calibri" w:hAnsi="Calibri"/>
          <w:sz w:val="24"/>
        </w:rPr>
      </w:pPr>
      <w:r>
        <w:rPr>
          <w:rFonts w:ascii="宋体" w:hAnsi="宋体"/>
          <w:sz w:val="24"/>
        </w:rPr>
        <w:t>对影响较大的重要关键业务系统在无法搭建模拟环境情况下，原则上不采用测评工具，采用访谈、测评和简单测试的方式进行。</w:t>
      </w:r>
    </w:p>
    <w:p>
      <w:pPr>
        <w:spacing w:line="360" w:lineRule="auto"/>
        <w:ind w:firstLine="480" w:firstLineChars="200"/>
        <w:rPr>
          <w:rFonts w:ascii="Calibri" w:hAnsi="Calibri"/>
          <w:sz w:val="24"/>
        </w:rPr>
      </w:pPr>
      <w:r>
        <w:rPr>
          <w:rFonts w:hint="eastAsia" w:ascii="宋体" w:hAnsi="宋体"/>
          <w:sz w:val="24"/>
        </w:rPr>
        <w:t>（6）</w:t>
      </w:r>
      <w:r>
        <w:rPr>
          <w:rFonts w:ascii="宋体" w:hAnsi="宋体"/>
          <w:sz w:val="24"/>
        </w:rPr>
        <w:t>优化扫描策略</w:t>
      </w:r>
    </w:p>
    <w:p>
      <w:pPr>
        <w:spacing w:line="360" w:lineRule="auto"/>
        <w:ind w:firstLine="480" w:firstLineChars="200"/>
        <w:rPr>
          <w:rFonts w:ascii="Calibri" w:hAnsi="Calibri"/>
          <w:sz w:val="24"/>
        </w:rPr>
      </w:pPr>
      <w:r>
        <w:rPr>
          <w:rFonts w:ascii="宋体" w:hAnsi="宋体"/>
          <w:sz w:val="24"/>
        </w:rPr>
        <w:t>分类扫描</w:t>
      </w:r>
      <w:r>
        <w:rPr>
          <w:rFonts w:ascii="Calibri" w:hAnsi="Calibri"/>
          <w:sz w:val="24"/>
        </w:rPr>
        <w:t>:</w:t>
      </w:r>
      <w:r>
        <w:rPr>
          <w:rFonts w:ascii="宋体" w:hAnsi="宋体"/>
          <w:sz w:val="24"/>
        </w:rPr>
        <w:t>对不同的主机和设备类型执行不同的扫描会话，从而减少不必要的脆弱项目测试。针对扫描对象细化扫描策略：对不同类型的主机或设备，需要根据其上不同的应用和服务情况，有针对性地定制扫描策略选项</w:t>
      </w:r>
      <w:r>
        <w:rPr>
          <w:rFonts w:hint="eastAsia" w:ascii="宋体" w:hAnsi="宋体"/>
          <w:sz w:val="24"/>
        </w:rPr>
        <w:t>。</w:t>
      </w:r>
    </w:p>
    <w:p>
      <w:pPr>
        <w:spacing w:line="360" w:lineRule="auto"/>
        <w:ind w:firstLine="480" w:firstLineChars="200"/>
        <w:rPr>
          <w:rFonts w:ascii="Calibri" w:hAnsi="Calibri"/>
          <w:sz w:val="24"/>
        </w:rPr>
      </w:pPr>
      <w:r>
        <w:rPr>
          <w:rFonts w:hint="eastAsia" w:ascii="宋体" w:hAnsi="宋体"/>
          <w:sz w:val="24"/>
        </w:rPr>
        <w:t>（7）</w:t>
      </w:r>
      <w:r>
        <w:rPr>
          <w:rFonts w:ascii="宋体" w:hAnsi="宋体"/>
          <w:sz w:val="24"/>
        </w:rPr>
        <w:t>数据备份与恢复</w:t>
      </w:r>
    </w:p>
    <w:p>
      <w:pPr>
        <w:spacing w:line="360" w:lineRule="auto"/>
        <w:ind w:firstLine="480" w:firstLineChars="200"/>
        <w:rPr>
          <w:rFonts w:ascii="Calibri" w:hAnsi="Calibri"/>
          <w:b/>
          <w:bCs/>
          <w:sz w:val="24"/>
        </w:rPr>
      </w:pPr>
      <w:r>
        <w:rPr>
          <w:rFonts w:ascii="宋体" w:hAnsi="宋体"/>
          <w:sz w:val="24"/>
        </w:rPr>
        <w:t>对业务系统和数据库主机，应对其上数据进行备份，防止测评过程中对设备与主机的损伤影响业务系统的正常运行。</w:t>
      </w:r>
    </w:p>
    <w:p>
      <w:pPr>
        <w:spacing w:line="360" w:lineRule="auto"/>
        <w:rPr>
          <w:rFonts w:ascii="宋体" w:hAnsi="宋体" w:cs="宋体"/>
          <w:b/>
          <w:bCs/>
          <w:sz w:val="24"/>
        </w:rPr>
      </w:pPr>
      <w:r>
        <w:rPr>
          <w:rFonts w:hint="eastAsia" w:ascii="宋体" w:hAnsi="宋体" w:cs="宋体"/>
          <w:b/>
          <w:bCs/>
          <w:sz w:val="24"/>
        </w:rPr>
        <w:t>四、建设内容</w:t>
      </w:r>
    </w:p>
    <w:p>
      <w:pPr>
        <w:numPr>
          <w:ilvl w:val="0"/>
          <w:numId w:val="8"/>
        </w:numPr>
        <w:rPr>
          <w:rFonts w:ascii="宋体" w:hAnsi="宋体" w:cs="宋体"/>
          <w:b/>
          <w:bCs/>
          <w:sz w:val="24"/>
        </w:rPr>
      </w:pPr>
      <w:r>
        <w:rPr>
          <w:rFonts w:hint="eastAsia" w:ascii="宋体" w:hAnsi="宋体" w:cs="宋体"/>
          <w:b/>
          <w:bCs/>
          <w:sz w:val="24"/>
        </w:rPr>
        <w:t>系统服务器云托管</w:t>
      </w:r>
    </w:p>
    <w:p>
      <w:r>
        <w:rPr>
          <w:rFonts w:hint="eastAsia"/>
        </w:rPr>
        <w:t>采购云服务器及数据存储服务。</w:t>
      </w:r>
    </w:p>
    <w:tbl>
      <w:tblPr>
        <w:tblStyle w:val="42"/>
        <w:tblW w:w="501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860"/>
        <w:gridCol w:w="3055"/>
        <w:gridCol w:w="1977"/>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7"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center"/>
              <w:rPr>
                <w:rFonts w:ascii="宋体" w:hAnsi="宋体" w:cs="宋体"/>
                <w:bCs/>
                <w:kern w:val="0"/>
                <w:sz w:val="24"/>
              </w:rPr>
            </w:pPr>
            <w:r>
              <w:rPr>
                <w:rFonts w:hint="eastAsia" w:ascii="宋体" w:hAnsi="宋体" w:cs="宋体"/>
                <w:bCs/>
                <w:kern w:val="0"/>
                <w:sz w:val="24"/>
                <w:lang w:bidi="ar"/>
              </w:rPr>
              <w:t>计算型 c7</w:t>
            </w:r>
          </w:p>
        </w:tc>
        <w:tc>
          <w:tcPr>
            <w:tcW w:w="157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center"/>
              <w:rPr>
                <w:rFonts w:ascii="宋体" w:hAnsi="宋体" w:cs="宋体"/>
                <w:bCs/>
                <w:kern w:val="0"/>
                <w:sz w:val="24"/>
              </w:rPr>
            </w:pPr>
            <w:r>
              <w:rPr>
                <w:rFonts w:hint="eastAsia" w:ascii="宋体" w:hAnsi="宋体" w:cs="宋体"/>
                <w:bCs/>
                <w:kern w:val="0"/>
                <w:sz w:val="24"/>
                <w:lang w:bidi="ar"/>
              </w:rPr>
              <w:t>ecs.c7.xlarge</w:t>
            </w:r>
          </w:p>
        </w:tc>
        <w:tc>
          <w:tcPr>
            <w:tcW w:w="1021"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center"/>
              <w:rPr>
                <w:rFonts w:ascii="宋体" w:hAnsi="宋体" w:cs="宋体"/>
                <w:bCs/>
                <w:kern w:val="0"/>
                <w:sz w:val="24"/>
              </w:rPr>
            </w:pPr>
            <w:r>
              <w:rPr>
                <w:rFonts w:hint="eastAsia" w:ascii="宋体" w:hAnsi="宋体" w:cs="宋体"/>
                <w:bCs/>
                <w:kern w:val="0"/>
                <w:sz w:val="24"/>
                <w:lang w:bidi="ar"/>
              </w:rPr>
              <w:t>4 vCPU</w:t>
            </w:r>
          </w:p>
        </w:tc>
        <w:tc>
          <w:tcPr>
            <w:tcW w:w="921"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center"/>
              <w:rPr>
                <w:rFonts w:ascii="宋体" w:hAnsi="宋体" w:cs="宋体"/>
                <w:bCs/>
                <w:kern w:val="0"/>
                <w:sz w:val="24"/>
              </w:rPr>
            </w:pPr>
            <w:r>
              <w:rPr>
                <w:rFonts w:hint="eastAsia" w:ascii="宋体" w:hAnsi="宋体" w:cs="宋体"/>
                <w:bCs/>
                <w:kern w:val="0"/>
                <w:sz w:val="24"/>
                <w:lang w:bidi="ar"/>
              </w:rPr>
              <w:t>8 GiB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77"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center"/>
              <w:rPr>
                <w:rFonts w:ascii="宋体" w:hAnsi="宋体" w:cs="宋体"/>
                <w:bCs/>
                <w:kern w:val="0"/>
                <w:sz w:val="24"/>
              </w:rPr>
            </w:pPr>
            <w:r>
              <w:rPr>
                <w:rFonts w:hint="eastAsia" w:ascii="宋体" w:hAnsi="宋体" w:cs="宋体"/>
                <w:bCs/>
                <w:kern w:val="0"/>
                <w:sz w:val="24"/>
                <w:lang w:bidi="ar"/>
              </w:rPr>
              <w:t>操作系统</w:t>
            </w:r>
          </w:p>
        </w:tc>
        <w:tc>
          <w:tcPr>
            <w:tcW w:w="3522" w:type="pct"/>
            <w:gridSpan w:val="3"/>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left"/>
              <w:rPr>
                <w:rFonts w:ascii="宋体" w:hAnsi="宋体" w:cs="宋体"/>
                <w:bCs/>
                <w:kern w:val="0"/>
                <w:sz w:val="24"/>
              </w:rPr>
            </w:pPr>
            <w:r>
              <w:rPr>
                <w:rFonts w:hint="eastAsia" w:ascii="宋体" w:hAnsi="宋体" w:cs="宋体"/>
                <w:bCs/>
                <w:kern w:val="0"/>
                <w:sz w:val="24"/>
                <w:lang w:bidi="ar"/>
              </w:rPr>
              <w:t>Windows Server / Windows Server 2022 数据中心版 64位中文版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77"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center"/>
              <w:rPr>
                <w:rFonts w:ascii="宋体" w:hAnsi="宋体" w:cs="宋体"/>
                <w:bCs/>
                <w:kern w:val="0"/>
                <w:sz w:val="24"/>
              </w:rPr>
            </w:pPr>
            <w:r>
              <w:rPr>
                <w:rFonts w:hint="eastAsia" w:ascii="宋体" w:hAnsi="宋体" w:cs="宋体"/>
                <w:bCs/>
                <w:kern w:val="0"/>
                <w:sz w:val="24"/>
                <w:lang w:bidi="ar"/>
              </w:rPr>
              <w:t>网络类型</w:t>
            </w:r>
          </w:p>
        </w:tc>
        <w:tc>
          <w:tcPr>
            <w:tcW w:w="3522" w:type="pct"/>
            <w:gridSpan w:val="3"/>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left"/>
              <w:rPr>
                <w:rFonts w:ascii="宋体" w:hAnsi="宋体" w:cs="宋体"/>
                <w:bCs/>
                <w:kern w:val="0"/>
                <w:sz w:val="24"/>
              </w:rPr>
            </w:pPr>
            <w:r>
              <w:rPr>
                <w:rFonts w:hint="eastAsia" w:ascii="宋体" w:hAnsi="宋体" w:cs="宋体"/>
                <w:bCs/>
                <w:kern w:val="0"/>
                <w:sz w:val="24"/>
                <w:lang w:bidi="ar"/>
              </w:rPr>
              <w:t>专有网络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77"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center"/>
              <w:rPr>
                <w:rFonts w:ascii="宋体" w:hAnsi="宋体" w:cs="宋体"/>
                <w:bCs/>
                <w:kern w:val="0"/>
                <w:sz w:val="24"/>
              </w:rPr>
            </w:pPr>
            <w:r>
              <w:rPr>
                <w:rFonts w:hint="eastAsia" w:ascii="宋体" w:hAnsi="宋体" w:cs="宋体"/>
                <w:bCs/>
                <w:kern w:val="0"/>
                <w:sz w:val="24"/>
                <w:lang w:bidi="ar"/>
              </w:rPr>
              <w:t>系统盘</w:t>
            </w:r>
          </w:p>
        </w:tc>
        <w:tc>
          <w:tcPr>
            <w:tcW w:w="3522" w:type="pct"/>
            <w:gridSpan w:val="3"/>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left"/>
              <w:rPr>
                <w:rFonts w:ascii="宋体" w:hAnsi="宋体" w:cs="宋体"/>
                <w:bCs/>
                <w:kern w:val="0"/>
                <w:sz w:val="24"/>
              </w:rPr>
            </w:pPr>
            <w:r>
              <w:rPr>
                <w:rFonts w:hint="eastAsia" w:ascii="宋体" w:hAnsi="宋体" w:cs="宋体"/>
                <w:bCs/>
                <w:kern w:val="0"/>
                <w:sz w:val="24"/>
                <w:lang w:bidi="ar"/>
              </w:rPr>
              <w:t>ESSD云盘，40GB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77"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center"/>
              <w:rPr>
                <w:rFonts w:ascii="宋体" w:hAnsi="宋体" w:cs="宋体"/>
                <w:bCs/>
                <w:kern w:val="0"/>
                <w:sz w:val="24"/>
              </w:rPr>
            </w:pPr>
            <w:r>
              <w:rPr>
                <w:rFonts w:hint="eastAsia" w:ascii="宋体" w:hAnsi="宋体" w:cs="宋体"/>
                <w:bCs/>
                <w:kern w:val="0"/>
                <w:sz w:val="24"/>
                <w:lang w:bidi="ar"/>
              </w:rPr>
              <w:t>系统盘性能等级</w:t>
            </w:r>
          </w:p>
        </w:tc>
        <w:tc>
          <w:tcPr>
            <w:tcW w:w="3522" w:type="pct"/>
            <w:gridSpan w:val="3"/>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left"/>
              <w:rPr>
                <w:rFonts w:ascii="宋体" w:hAnsi="宋体" w:cs="宋体"/>
                <w:bCs/>
                <w:kern w:val="0"/>
                <w:sz w:val="24"/>
              </w:rPr>
            </w:pPr>
            <w:r>
              <w:rPr>
                <w:rFonts w:hint="eastAsia" w:ascii="宋体" w:hAnsi="宋体" w:cs="宋体"/>
                <w:bCs/>
                <w:kern w:val="0"/>
                <w:sz w:val="24"/>
                <w:lang w:bidi="ar"/>
              </w:rPr>
              <w:t>PL0（单盘IOPS性能上限1万）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77"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center"/>
              <w:rPr>
                <w:rFonts w:ascii="宋体" w:hAnsi="宋体" w:cs="宋体"/>
                <w:bCs/>
                <w:kern w:val="0"/>
                <w:sz w:val="24"/>
              </w:rPr>
            </w:pPr>
            <w:r>
              <w:rPr>
                <w:rFonts w:hint="eastAsia" w:ascii="宋体" w:hAnsi="宋体" w:cs="宋体"/>
                <w:bCs/>
                <w:kern w:val="0"/>
                <w:sz w:val="24"/>
                <w:lang w:bidi="ar"/>
              </w:rPr>
              <w:t>带宽</w:t>
            </w:r>
          </w:p>
        </w:tc>
        <w:tc>
          <w:tcPr>
            <w:tcW w:w="3522" w:type="pct"/>
            <w:gridSpan w:val="3"/>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left"/>
              <w:rPr>
                <w:rFonts w:ascii="宋体" w:hAnsi="宋体" w:cs="宋体"/>
                <w:bCs/>
                <w:kern w:val="0"/>
                <w:sz w:val="24"/>
              </w:rPr>
            </w:pPr>
            <w:r>
              <w:rPr>
                <w:rFonts w:hint="eastAsia" w:ascii="宋体" w:hAnsi="宋体" w:cs="宋体"/>
                <w:bCs/>
                <w:kern w:val="0"/>
                <w:sz w:val="24"/>
                <w:lang w:bidi="ar"/>
              </w:rPr>
              <w:t>5 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77"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center"/>
              <w:rPr>
                <w:rFonts w:ascii="宋体" w:hAnsi="宋体" w:cs="宋体"/>
                <w:bCs/>
                <w:kern w:val="0"/>
                <w:sz w:val="24"/>
              </w:rPr>
            </w:pPr>
            <w:r>
              <w:rPr>
                <w:rFonts w:hint="eastAsia" w:ascii="宋体" w:hAnsi="宋体" w:cs="宋体"/>
                <w:bCs/>
                <w:kern w:val="0"/>
                <w:sz w:val="24"/>
                <w:lang w:bidi="ar"/>
              </w:rPr>
              <w:t>对象存储 OSS 资源包</w:t>
            </w:r>
          </w:p>
        </w:tc>
        <w:tc>
          <w:tcPr>
            <w:tcW w:w="3522" w:type="pct"/>
            <w:gridSpan w:val="3"/>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60" w:lineRule="auto"/>
              <w:jc w:val="left"/>
              <w:rPr>
                <w:rFonts w:ascii="宋体" w:hAnsi="宋体" w:cs="宋体"/>
                <w:bCs/>
                <w:kern w:val="0"/>
                <w:sz w:val="24"/>
              </w:rPr>
            </w:pPr>
            <w:r>
              <w:rPr>
                <w:rFonts w:hint="eastAsia" w:ascii="宋体" w:hAnsi="宋体" w:cs="宋体"/>
                <w:bCs/>
                <w:kern w:val="0"/>
                <w:sz w:val="24"/>
                <w:lang w:bidi="ar"/>
              </w:rPr>
              <w:t>本地冗余存储，1000G，1年</w:t>
            </w:r>
          </w:p>
        </w:tc>
      </w:tr>
    </w:tbl>
    <w:p>
      <w:pPr>
        <w:numPr>
          <w:ilvl w:val="0"/>
          <w:numId w:val="8"/>
        </w:numPr>
        <w:spacing w:line="360" w:lineRule="auto"/>
        <w:rPr>
          <w:rFonts w:ascii="宋体" w:hAnsi="宋体" w:cs="宋体"/>
          <w:b/>
          <w:bCs/>
          <w:sz w:val="24"/>
        </w:rPr>
      </w:pPr>
      <w:r>
        <w:rPr>
          <w:rFonts w:hint="eastAsia" w:ascii="宋体" w:hAnsi="宋体" w:cs="宋体"/>
          <w:b/>
          <w:bCs/>
          <w:sz w:val="24"/>
        </w:rPr>
        <w:t>系统安全性配置采购</w:t>
      </w:r>
    </w:p>
    <w:p>
      <w:pPr>
        <w:spacing w:line="360" w:lineRule="auto"/>
      </w:pPr>
      <w:r>
        <w:rPr>
          <w:rFonts w:hint="eastAsia"/>
        </w:rPr>
        <w:t>采购系统安全性产品/服务</w:t>
      </w:r>
    </w:p>
    <w:tbl>
      <w:tblPr>
        <w:tblStyle w:val="42"/>
        <w:tblW w:w="4998" w:type="pct"/>
        <w:tblInd w:w="0" w:type="dxa"/>
        <w:tblLayout w:type="autofit"/>
        <w:tblCellMar>
          <w:top w:w="0" w:type="dxa"/>
          <w:left w:w="108" w:type="dxa"/>
          <w:bottom w:w="0" w:type="dxa"/>
          <w:right w:w="108" w:type="dxa"/>
        </w:tblCellMar>
      </w:tblPr>
      <w:tblGrid>
        <w:gridCol w:w="908"/>
        <w:gridCol w:w="1947"/>
        <w:gridCol w:w="6165"/>
        <w:gridCol w:w="830"/>
      </w:tblGrid>
      <w:tr>
        <w:tblPrEx>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序号</w:t>
            </w:r>
          </w:p>
        </w:tc>
        <w:tc>
          <w:tcPr>
            <w:tcW w:w="98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安全产品/服务</w:t>
            </w:r>
          </w:p>
        </w:tc>
        <w:tc>
          <w:tcPr>
            <w:tcW w:w="312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产品/服务描述</w:t>
            </w:r>
          </w:p>
        </w:tc>
        <w:tc>
          <w:tcPr>
            <w:tcW w:w="421"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年限</w:t>
            </w:r>
          </w:p>
        </w:tc>
      </w:tr>
      <w:tr>
        <w:tblPrEx>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w:t>
            </w:r>
          </w:p>
        </w:tc>
        <w:tc>
          <w:tcPr>
            <w:tcW w:w="98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安全组</w:t>
            </w:r>
          </w:p>
        </w:tc>
        <w:tc>
          <w:tcPr>
            <w:tcW w:w="3128" w:type="pct"/>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分布式状态检测防火墙，对不同的安全组进行四层访问控制</w:t>
            </w:r>
          </w:p>
        </w:tc>
        <w:tc>
          <w:tcPr>
            <w:tcW w:w="421" w:type="pct"/>
            <w:tcBorders>
              <w:top w:val="single" w:color="000000" w:sz="4" w:space="0"/>
              <w:left w:val="nil"/>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1年</w:t>
            </w:r>
          </w:p>
        </w:tc>
      </w:tr>
      <w:tr>
        <w:tblPrEx>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p>
        </w:tc>
        <w:tc>
          <w:tcPr>
            <w:tcW w:w="98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VPC</w:t>
            </w:r>
          </w:p>
        </w:tc>
        <w:tc>
          <w:tcPr>
            <w:tcW w:w="3128" w:type="pct"/>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专有网络，可以实现VLAN级隔离，并自定义IP地址分配；</w:t>
            </w:r>
          </w:p>
        </w:tc>
        <w:tc>
          <w:tcPr>
            <w:tcW w:w="421" w:type="pct"/>
            <w:tcBorders>
              <w:top w:val="single" w:color="000000" w:sz="4" w:space="0"/>
              <w:left w:val="nil"/>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1年</w:t>
            </w:r>
          </w:p>
        </w:tc>
      </w:tr>
      <w:tr>
        <w:tblPrEx>
          <w:tblCellMar>
            <w:top w:w="0" w:type="dxa"/>
            <w:left w:w="108" w:type="dxa"/>
            <w:bottom w:w="0" w:type="dxa"/>
            <w:right w:w="108" w:type="dxa"/>
          </w:tblCellMar>
        </w:tblPrEx>
        <w:trPr>
          <w:trHeight w:val="280"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w:t>
            </w:r>
          </w:p>
        </w:tc>
        <w:tc>
          <w:tcPr>
            <w:tcW w:w="98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DDOS基础防护</w:t>
            </w:r>
          </w:p>
        </w:tc>
        <w:tc>
          <w:tcPr>
            <w:tcW w:w="3128" w:type="pct"/>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提供最高2-5Gbps的DDOS攻击清洗基础防护</w:t>
            </w:r>
          </w:p>
        </w:tc>
        <w:tc>
          <w:tcPr>
            <w:tcW w:w="421" w:type="pct"/>
            <w:tcBorders>
              <w:top w:val="single" w:color="000000" w:sz="4" w:space="0"/>
              <w:left w:val="nil"/>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1年</w:t>
            </w:r>
          </w:p>
        </w:tc>
      </w:tr>
      <w:tr>
        <w:tblPrEx>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p>
        </w:tc>
        <w:tc>
          <w:tcPr>
            <w:tcW w:w="98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RAM</w:t>
            </w:r>
          </w:p>
        </w:tc>
        <w:tc>
          <w:tcPr>
            <w:tcW w:w="3128" w:type="pct"/>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使用 RAM 创建和管理用户和组，并使用各种权限，能够安全地集中管理对云服务和资源的访问。</w:t>
            </w:r>
          </w:p>
        </w:tc>
        <w:tc>
          <w:tcPr>
            <w:tcW w:w="421" w:type="pct"/>
            <w:tcBorders>
              <w:top w:val="single" w:color="000000" w:sz="4" w:space="0"/>
              <w:left w:val="nil"/>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1年</w:t>
            </w:r>
          </w:p>
        </w:tc>
      </w:tr>
      <w:tr>
        <w:tblPrEx>
          <w:tblCellMar>
            <w:top w:w="0" w:type="dxa"/>
            <w:left w:w="108" w:type="dxa"/>
            <w:bottom w:w="0" w:type="dxa"/>
            <w:right w:w="108" w:type="dxa"/>
          </w:tblCellMar>
        </w:tblPrEx>
        <w:trPr>
          <w:trHeight w:val="1160"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w:t>
            </w:r>
          </w:p>
        </w:tc>
        <w:tc>
          <w:tcPr>
            <w:tcW w:w="98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云安全中心（含日志）</w:t>
            </w:r>
          </w:p>
        </w:tc>
        <w:tc>
          <w:tcPr>
            <w:tcW w:w="3128" w:type="pct"/>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云安全中心是一个实时识别、分析、预警安全威胁的统一安全管理系统，通过防勒索、防病毒、防篡改、合规检查等安全能力，帮助用户实现威胁检测、响应、溯源的自动化安全运营闭环，保护云上资产和本地主机并满足监管合规要求。</w:t>
            </w:r>
          </w:p>
        </w:tc>
        <w:tc>
          <w:tcPr>
            <w:tcW w:w="421" w:type="pct"/>
            <w:tcBorders>
              <w:top w:val="single" w:color="000000" w:sz="4" w:space="0"/>
              <w:left w:val="nil"/>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1年</w:t>
            </w:r>
          </w:p>
        </w:tc>
      </w:tr>
      <w:tr>
        <w:tblPrEx>
          <w:tblCellMar>
            <w:top w:w="0" w:type="dxa"/>
            <w:left w:w="108" w:type="dxa"/>
            <w:bottom w:w="0" w:type="dxa"/>
            <w:right w:w="108" w:type="dxa"/>
          </w:tblCellMar>
        </w:tblPrEx>
        <w:trPr>
          <w:trHeight w:val="900"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w:t>
            </w:r>
          </w:p>
        </w:tc>
        <w:tc>
          <w:tcPr>
            <w:tcW w:w="98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Web应用防火墙（含日志）</w:t>
            </w:r>
          </w:p>
        </w:tc>
        <w:tc>
          <w:tcPr>
            <w:tcW w:w="3128" w:type="pct"/>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对网站或者APP的业务流量进行恶意特征识别及防护，将正常、安全的流量回源到服务器。避免网站服务器被恶意入侵、篡改，保障业务的核心数据安全，解决因恶意攻击导致的服务器性能异常问题。</w:t>
            </w:r>
          </w:p>
        </w:tc>
        <w:tc>
          <w:tcPr>
            <w:tcW w:w="421" w:type="pct"/>
            <w:tcBorders>
              <w:top w:val="single" w:color="000000" w:sz="4" w:space="0"/>
              <w:left w:val="nil"/>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1年</w:t>
            </w:r>
          </w:p>
        </w:tc>
      </w:tr>
      <w:tr>
        <w:tblPrEx>
          <w:tblCellMar>
            <w:top w:w="0" w:type="dxa"/>
            <w:left w:w="108" w:type="dxa"/>
            <w:bottom w:w="0" w:type="dxa"/>
            <w:right w:w="108" w:type="dxa"/>
          </w:tblCellMar>
        </w:tblPrEx>
        <w:trPr>
          <w:trHeight w:val="1160"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w:t>
            </w:r>
          </w:p>
        </w:tc>
        <w:tc>
          <w:tcPr>
            <w:tcW w:w="98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SSL证书</w:t>
            </w:r>
          </w:p>
        </w:tc>
        <w:tc>
          <w:tcPr>
            <w:tcW w:w="3128" w:type="pct"/>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在云上签发各品牌数字证书，实现网站HTTPS化，使网站可信，防劫持、防篡改、防监听、安全加密。统一生命周期管理，简化证书部署，一键分发到CDN、负载均衡、OSS等其它云上产品。</w:t>
            </w:r>
          </w:p>
        </w:tc>
        <w:tc>
          <w:tcPr>
            <w:tcW w:w="421" w:type="pct"/>
            <w:tcBorders>
              <w:top w:val="single" w:color="000000" w:sz="4" w:space="0"/>
              <w:left w:val="nil"/>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1年</w:t>
            </w:r>
          </w:p>
        </w:tc>
      </w:tr>
      <w:tr>
        <w:tblPrEx>
          <w:tblCellMar>
            <w:top w:w="0" w:type="dxa"/>
            <w:left w:w="108" w:type="dxa"/>
            <w:bottom w:w="0" w:type="dxa"/>
            <w:right w:w="108" w:type="dxa"/>
          </w:tblCellMar>
        </w:tblPrEx>
        <w:trPr>
          <w:trHeight w:val="870"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w:t>
            </w:r>
          </w:p>
        </w:tc>
        <w:tc>
          <w:tcPr>
            <w:tcW w:w="98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云防火墙（含日志）</w:t>
            </w:r>
          </w:p>
        </w:tc>
        <w:tc>
          <w:tcPr>
            <w:tcW w:w="3128" w:type="pct"/>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集中管理公网IP的访问策略，内置威胁入侵防御模块(IPS)，支持失陷主机检测、主动外联行为的阻断、业务间访问关系可视，留存6个月网络流量日志。</w:t>
            </w:r>
          </w:p>
        </w:tc>
        <w:tc>
          <w:tcPr>
            <w:tcW w:w="421" w:type="pct"/>
            <w:tcBorders>
              <w:top w:val="single" w:color="000000" w:sz="4" w:space="0"/>
              <w:left w:val="nil"/>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1年</w:t>
            </w:r>
          </w:p>
        </w:tc>
      </w:tr>
      <w:tr>
        <w:tblPrEx>
          <w:tblCellMar>
            <w:top w:w="0" w:type="dxa"/>
            <w:left w:w="108" w:type="dxa"/>
            <w:bottom w:w="0" w:type="dxa"/>
            <w:right w:w="108" w:type="dxa"/>
          </w:tblCellMar>
        </w:tblPrEx>
        <w:trPr>
          <w:trHeight w:val="870"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w:t>
            </w:r>
          </w:p>
        </w:tc>
        <w:tc>
          <w:tcPr>
            <w:tcW w:w="98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堡垒机</w:t>
            </w:r>
          </w:p>
        </w:tc>
        <w:tc>
          <w:tcPr>
            <w:tcW w:w="3128" w:type="pct"/>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微软雅黑" w:hAnsi="微软雅黑" w:eastAsia="微软雅黑" w:cs="微软雅黑"/>
                <w:color w:val="000000"/>
                <w:kern w:val="0"/>
                <w:sz w:val="20"/>
                <w:szCs w:val="20"/>
              </w:rPr>
            </w:pPr>
            <w:r>
              <w:rPr>
                <w:rFonts w:hint="eastAsia" w:ascii="宋体" w:hAnsi="宋体" w:cs="宋体"/>
                <w:color w:val="000000"/>
                <w:kern w:val="0"/>
                <w:sz w:val="22"/>
                <w:szCs w:val="22"/>
                <w:lang w:bidi="ar"/>
              </w:rPr>
              <w:t>集中管理资产权限，全程记录操作数据，实时还原运维场景，助力企业用户构建云上统一、安全、高效运维通道；保障云端运维工作权限可管控、操作可审计、合规可遵从。</w:t>
            </w:r>
          </w:p>
        </w:tc>
        <w:tc>
          <w:tcPr>
            <w:tcW w:w="421" w:type="pct"/>
            <w:tcBorders>
              <w:top w:val="single" w:color="000000" w:sz="4" w:space="0"/>
              <w:left w:val="nil"/>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1年</w:t>
            </w:r>
          </w:p>
        </w:tc>
      </w:tr>
    </w:tbl>
    <w:p>
      <w:pPr>
        <w:numPr>
          <w:ilvl w:val="0"/>
          <w:numId w:val="8"/>
        </w:numPr>
        <w:spacing w:line="360" w:lineRule="auto"/>
        <w:rPr>
          <w:rFonts w:ascii="宋体" w:hAnsi="宋体" w:cs="宋体"/>
          <w:b/>
          <w:bCs/>
          <w:sz w:val="24"/>
        </w:rPr>
      </w:pPr>
      <w:r>
        <w:rPr>
          <w:rFonts w:hint="eastAsia" w:ascii="宋体" w:hAnsi="宋体" w:cs="宋体"/>
          <w:b/>
          <w:bCs/>
          <w:sz w:val="24"/>
        </w:rPr>
        <w:t>测评备案</w:t>
      </w:r>
    </w:p>
    <w:p>
      <w:pPr>
        <w:spacing w:line="360" w:lineRule="auto"/>
        <w:ind w:firstLine="420" w:firstLineChars="200"/>
      </w:pPr>
      <w:r>
        <w:rPr>
          <w:rFonts w:hint="eastAsia"/>
        </w:rPr>
        <w:t>根据《信息安全等级保护管理办法》公通字[2007]43号文件，信息安全等级保护是我国信息安全保障的基本制度、基本国策。是开展信息安全工作的基本方法。是促进信息化、维护国家信息安全的根本保障。</w:t>
      </w:r>
    </w:p>
    <w:p>
      <w:pPr>
        <w:spacing w:line="360" w:lineRule="auto"/>
        <w:ind w:firstLine="420" w:firstLineChars="200"/>
      </w:pPr>
      <w:r>
        <w:rPr>
          <w:rFonts w:hint="eastAsia"/>
        </w:rPr>
        <w:t xml:space="preserve">信息安全等级保护工作流程分为定级、备案、等级测评、安全整改、监督检查五个步骤。 </w:t>
      </w:r>
    </w:p>
    <w:p>
      <w:pPr>
        <w:jc w:val="center"/>
        <w:rPr>
          <w:rFonts w:ascii="宋体" w:hAnsi="宋体" w:cs="宋体"/>
          <w:sz w:val="24"/>
        </w:rPr>
      </w:pPr>
      <w:r>
        <w:rPr>
          <w:rFonts w:hint="eastAsia" w:ascii="宋体" w:hAnsi="宋体" w:cs="宋体"/>
          <w:sz w:val="24"/>
        </w:rPr>
        <w:drawing>
          <wp:inline distT="0" distB="0" distL="114300" distR="114300">
            <wp:extent cx="3942080" cy="1512570"/>
            <wp:effectExtent l="0" t="0" r="12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942080" cy="1512570"/>
                    </a:xfrm>
                    <a:prstGeom prst="rect">
                      <a:avLst/>
                    </a:prstGeom>
                    <a:noFill/>
                    <a:ln>
                      <a:noFill/>
                    </a:ln>
                  </pic:spPr>
                </pic:pic>
              </a:graphicData>
            </a:graphic>
          </wp:inline>
        </w:drawing>
      </w:r>
    </w:p>
    <w:p>
      <w:pPr>
        <w:jc w:val="center"/>
      </w:pPr>
      <w:r>
        <w:rPr>
          <w:rFonts w:hint="eastAsia" w:ascii="宋体" w:hAnsi="宋体" w:cs="宋体"/>
          <w:sz w:val="22"/>
          <w:szCs w:val="22"/>
        </w:rPr>
        <w:t>图1.1等级保护测评工作流程图</w:t>
      </w:r>
    </w:p>
    <w:p>
      <w:pPr>
        <w:pStyle w:val="7"/>
        <w:numPr>
          <w:ilvl w:val="0"/>
          <w:numId w:val="9"/>
        </w:numPr>
        <w:tabs>
          <w:tab w:val="left" w:pos="480"/>
        </w:tabs>
        <w:rPr>
          <w:rFonts w:ascii="宋体" w:hAnsi="宋体" w:eastAsia="宋体" w:cs="宋体"/>
          <w:sz w:val="24"/>
          <w:szCs w:val="24"/>
        </w:rPr>
      </w:pPr>
      <w:r>
        <w:rPr>
          <w:rFonts w:hint="eastAsia" w:ascii="宋体" w:hAnsi="宋体" w:eastAsia="宋体" w:cs="宋体"/>
          <w:sz w:val="24"/>
          <w:szCs w:val="24"/>
        </w:rPr>
        <w:t>系统定级</w:t>
      </w:r>
    </w:p>
    <w:p>
      <w:pPr>
        <w:spacing w:line="360" w:lineRule="auto"/>
        <w:ind w:firstLine="420" w:firstLineChars="200"/>
      </w:pPr>
      <w:r>
        <w:rPr>
          <w:rFonts w:hint="eastAsia"/>
        </w:rPr>
        <w:t>信息系统定级是等级保护工作的首要环节和关键环节，是开展信息系统备案、建设整改、等级测评、监督检查等工作的重要基础。这里先明确一个概念，信息系统包括起支撑、传输作用的基础信息网络和各类应用系统。信息系统安全级别定级不准，系统备案、建设整改、等级测评等后续工作都会失去基础，信息系统安全就没有保证。</w:t>
      </w:r>
    </w:p>
    <w:p>
      <w:pPr>
        <w:jc w:val="center"/>
      </w:pPr>
    </w:p>
    <w:p>
      <w:pPr>
        <w:pStyle w:val="7"/>
        <w:numPr>
          <w:ilvl w:val="0"/>
          <w:numId w:val="9"/>
        </w:numPr>
        <w:rPr>
          <w:rFonts w:ascii="宋体" w:hAnsi="宋体" w:eastAsia="宋体" w:cs="宋体"/>
          <w:sz w:val="24"/>
          <w:szCs w:val="24"/>
        </w:rPr>
      </w:pPr>
      <w:r>
        <w:rPr>
          <w:rFonts w:hint="eastAsia" w:ascii="宋体" w:hAnsi="宋体" w:eastAsia="宋体" w:cs="宋体"/>
          <w:sz w:val="24"/>
          <w:szCs w:val="24"/>
        </w:rPr>
        <w:t>系统备案</w:t>
      </w:r>
    </w:p>
    <w:p>
      <w:pPr>
        <w:spacing w:line="360" w:lineRule="auto"/>
        <w:ind w:firstLine="480" w:firstLineChars="200"/>
        <w:rPr>
          <w:rFonts w:ascii="宋体" w:hAnsi="宋体" w:cs="宋体"/>
          <w:kern w:val="0"/>
          <w:sz w:val="24"/>
        </w:rPr>
      </w:pPr>
      <w:r>
        <w:rPr>
          <w:rFonts w:hint="eastAsia" w:ascii="宋体" w:hAnsi="宋体" w:cs="宋体"/>
          <w:kern w:val="0"/>
          <w:sz w:val="24"/>
        </w:rPr>
        <w:t>信息安全等级保护备案工作包括信息系统备案、受理、审核和备案信息管理等工作。信息系统运营使用单位和受理备案的公安机关应按照《信息安全等级保护备案实施细则》（公信安〔2007〕1360号）的要求办理信息系统备案工作。</w:t>
      </w:r>
    </w:p>
    <w:p>
      <w:pPr>
        <w:spacing w:line="360" w:lineRule="auto"/>
        <w:ind w:firstLine="480" w:firstLineChars="200"/>
        <w:rPr>
          <w:rFonts w:ascii="宋体" w:hAnsi="宋体" w:cs="宋体"/>
          <w:kern w:val="0"/>
          <w:sz w:val="24"/>
        </w:rPr>
      </w:pPr>
      <w:r>
        <w:rPr>
          <w:rFonts w:hint="eastAsia" w:ascii="宋体" w:hAnsi="宋体" w:cs="宋体"/>
          <w:kern w:val="0"/>
          <w:sz w:val="24"/>
        </w:rPr>
        <w:t>第二级以上信息系统，在安全保护等级确定后30日内，由其运营、使用单位或者其主管部门（以下简称“备案单位”）到所在地设区的市级以上公安机关办理备案手续。办理备案手续时，应当首先到公安机关指定的网址下载并填写备案表，准备好备案文件，然后到指定的地点备案。</w:t>
      </w:r>
    </w:p>
    <w:p>
      <w:r>
        <w:rPr>
          <w:rFonts w:hint="eastAsia"/>
        </w:rPr>
        <w:t>备案成果如下：</w:t>
      </w:r>
    </w:p>
    <w:p>
      <w:pPr>
        <w:numPr>
          <w:ilvl w:val="0"/>
          <w:numId w:val="10"/>
        </w:numPr>
        <w:spacing w:line="360" w:lineRule="auto"/>
        <w:ind w:left="240" w:hanging="240"/>
        <w:rPr>
          <w:rFonts w:ascii="宋体" w:hAnsi="宋体" w:cs="宋体"/>
          <w:sz w:val="24"/>
        </w:rPr>
      </w:pPr>
      <w:r>
        <w:rPr>
          <w:rFonts w:hint="eastAsia" w:ascii="宋体" w:hAnsi="宋体" w:cs="宋体"/>
          <w:sz w:val="24"/>
        </w:rPr>
        <w:t>《武汉商学院</w:t>
      </w:r>
      <w:r>
        <w:rPr>
          <w:rFonts w:hint="eastAsia" w:ascii="宋体" w:hAnsi="宋体"/>
          <w:color w:val="000000"/>
        </w:rPr>
        <w:t>智能仓储系统物流效率虚拟仿真实验系统</w:t>
      </w:r>
      <w:r>
        <w:rPr>
          <w:rFonts w:hint="eastAsia" w:ascii="宋体" w:hAnsi="宋体" w:cs="宋体"/>
          <w:sz w:val="24"/>
        </w:rPr>
        <w:t>（二级系统）网络安全备案表》</w:t>
      </w:r>
    </w:p>
    <w:p>
      <w:pPr>
        <w:numPr>
          <w:ilvl w:val="0"/>
          <w:numId w:val="10"/>
        </w:numPr>
        <w:spacing w:line="360" w:lineRule="auto"/>
        <w:ind w:left="240" w:hanging="240"/>
        <w:rPr>
          <w:rFonts w:ascii="宋体" w:hAnsi="宋体" w:cs="宋体"/>
          <w:sz w:val="24"/>
        </w:rPr>
      </w:pPr>
      <w:r>
        <w:rPr>
          <w:rFonts w:hint="eastAsia" w:ascii="宋体" w:hAnsi="宋体" w:cs="宋体"/>
          <w:sz w:val="24"/>
        </w:rPr>
        <w:t>《武汉商学院</w:t>
      </w:r>
      <w:r>
        <w:rPr>
          <w:rFonts w:hint="eastAsia" w:ascii="宋体" w:hAnsi="宋体"/>
          <w:color w:val="000000"/>
        </w:rPr>
        <w:t>智能仓储系统物流效率虚拟仿真实验系统</w:t>
      </w:r>
      <w:r>
        <w:rPr>
          <w:rFonts w:hint="eastAsia" w:ascii="宋体" w:hAnsi="宋体" w:cs="宋体"/>
          <w:sz w:val="24"/>
        </w:rPr>
        <w:t>（二级系统）网络安全定级报告》</w:t>
      </w:r>
    </w:p>
    <w:p>
      <w:pPr>
        <w:numPr>
          <w:ilvl w:val="0"/>
          <w:numId w:val="10"/>
        </w:numPr>
        <w:spacing w:line="360" w:lineRule="auto"/>
        <w:ind w:left="240" w:hanging="240"/>
        <w:rPr>
          <w:rFonts w:ascii="宋体" w:hAnsi="宋体" w:cs="宋体"/>
          <w:sz w:val="24"/>
        </w:rPr>
      </w:pPr>
      <w:r>
        <w:rPr>
          <w:rFonts w:hint="eastAsia" w:ascii="宋体" w:hAnsi="宋体" w:cs="宋体"/>
          <w:sz w:val="24"/>
        </w:rPr>
        <w:t>《武汉商学院</w:t>
      </w:r>
      <w:r>
        <w:rPr>
          <w:rFonts w:hint="eastAsia" w:ascii="宋体" w:hAnsi="宋体"/>
          <w:color w:val="000000"/>
        </w:rPr>
        <w:t>智能仓储系统物流效率虚拟仿真实验系统</w:t>
      </w:r>
      <w:r>
        <w:rPr>
          <w:rFonts w:hint="eastAsia" w:ascii="宋体" w:hAnsi="宋体" w:cs="宋体"/>
          <w:sz w:val="24"/>
        </w:rPr>
        <w:t>（二级系统）网络拓扑图以及说明》</w:t>
      </w:r>
    </w:p>
    <w:p>
      <w:pPr>
        <w:numPr>
          <w:ilvl w:val="0"/>
          <w:numId w:val="10"/>
        </w:numPr>
        <w:spacing w:line="360" w:lineRule="auto"/>
        <w:ind w:left="240" w:hanging="240"/>
        <w:rPr>
          <w:rFonts w:ascii="宋体" w:hAnsi="宋体" w:cs="宋体"/>
          <w:sz w:val="24"/>
        </w:rPr>
      </w:pPr>
      <w:r>
        <w:rPr>
          <w:rFonts w:hint="eastAsia" w:ascii="宋体" w:hAnsi="宋体" w:cs="宋体"/>
          <w:sz w:val="24"/>
        </w:rPr>
        <w:t>《安全组织机构以及安全管理制度》</w:t>
      </w:r>
    </w:p>
    <w:p>
      <w:pPr>
        <w:numPr>
          <w:ilvl w:val="0"/>
          <w:numId w:val="10"/>
        </w:numPr>
        <w:spacing w:line="360" w:lineRule="auto"/>
        <w:ind w:left="240" w:hanging="240"/>
        <w:rPr>
          <w:rFonts w:ascii="宋体" w:hAnsi="宋体" w:cs="宋体"/>
          <w:sz w:val="24"/>
        </w:rPr>
      </w:pPr>
      <w:r>
        <w:rPr>
          <w:rFonts w:hint="eastAsia" w:ascii="宋体" w:hAnsi="宋体" w:cs="宋体"/>
          <w:sz w:val="24"/>
        </w:rPr>
        <w:t>《武汉商学院</w:t>
      </w:r>
      <w:r>
        <w:rPr>
          <w:rFonts w:hint="eastAsia" w:ascii="宋体" w:hAnsi="宋体"/>
          <w:color w:val="000000"/>
        </w:rPr>
        <w:t>智能仓储系统物流效率虚拟仿真实验系统</w:t>
      </w:r>
      <w:r>
        <w:rPr>
          <w:rFonts w:hint="eastAsia" w:ascii="宋体" w:hAnsi="宋体" w:cs="宋体"/>
          <w:sz w:val="24"/>
        </w:rPr>
        <w:t>（二级系统）安全建设方案》</w:t>
      </w:r>
    </w:p>
    <w:p>
      <w:pPr>
        <w:numPr>
          <w:ilvl w:val="0"/>
          <w:numId w:val="10"/>
        </w:numPr>
        <w:spacing w:line="360" w:lineRule="auto"/>
        <w:ind w:left="240" w:hanging="240"/>
        <w:rPr>
          <w:rFonts w:ascii="宋体" w:hAnsi="宋体" w:cs="宋体"/>
          <w:sz w:val="24"/>
        </w:rPr>
      </w:pPr>
      <w:r>
        <w:rPr>
          <w:rFonts w:hint="eastAsia" w:ascii="宋体" w:hAnsi="宋体" w:cs="宋体"/>
          <w:sz w:val="24"/>
        </w:rPr>
        <w:t>《武汉商学院</w:t>
      </w:r>
      <w:r>
        <w:rPr>
          <w:rFonts w:hint="eastAsia" w:ascii="宋体" w:hAnsi="宋体"/>
          <w:color w:val="000000"/>
        </w:rPr>
        <w:t>智能仓储系统物流效率虚拟仿真实验系统</w:t>
      </w:r>
      <w:r>
        <w:rPr>
          <w:rFonts w:hint="eastAsia" w:ascii="宋体" w:hAnsi="宋体" w:cs="宋体"/>
          <w:sz w:val="24"/>
        </w:rPr>
        <w:t>（二级系统）使用的安全设备清单以及对应的销售许可证》</w:t>
      </w:r>
    </w:p>
    <w:p>
      <w:pPr>
        <w:numPr>
          <w:ilvl w:val="0"/>
          <w:numId w:val="10"/>
        </w:numPr>
        <w:spacing w:line="360" w:lineRule="auto"/>
        <w:ind w:left="240" w:hanging="240"/>
        <w:rPr>
          <w:rFonts w:ascii="宋体" w:hAnsi="宋体" w:cs="宋体"/>
          <w:sz w:val="24"/>
        </w:rPr>
      </w:pPr>
      <w:r>
        <w:rPr>
          <w:rFonts w:hint="eastAsia" w:ascii="宋体" w:hAnsi="宋体" w:cs="宋体"/>
          <w:sz w:val="24"/>
        </w:rPr>
        <w:t>《专家评审意见》</w:t>
      </w:r>
    </w:p>
    <w:p>
      <w:pPr>
        <w:numPr>
          <w:ilvl w:val="0"/>
          <w:numId w:val="10"/>
        </w:numPr>
        <w:spacing w:line="360" w:lineRule="auto"/>
        <w:ind w:left="240" w:hanging="240"/>
        <w:rPr>
          <w:rFonts w:ascii="宋体" w:hAnsi="宋体" w:cs="宋体"/>
          <w:sz w:val="24"/>
        </w:rPr>
      </w:pPr>
      <w:r>
        <w:rPr>
          <w:rFonts w:hint="eastAsia" w:ascii="宋体" w:hAnsi="宋体" w:cs="宋体"/>
          <w:sz w:val="24"/>
        </w:rPr>
        <w:t>《上级主管部门审批意见表》</w:t>
      </w:r>
    </w:p>
    <w:p>
      <w:pPr>
        <w:pStyle w:val="7"/>
        <w:numPr>
          <w:ilvl w:val="0"/>
          <w:numId w:val="9"/>
        </w:numPr>
        <w:rPr>
          <w:rFonts w:ascii="宋体" w:hAnsi="宋体" w:eastAsia="宋体" w:cs="宋体"/>
          <w:sz w:val="24"/>
          <w:szCs w:val="24"/>
        </w:rPr>
      </w:pPr>
      <w:r>
        <w:rPr>
          <w:rFonts w:hint="eastAsia" w:ascii="宋体" w:hAnsi="宋体" w:eastAsia="宋体" w:cs="宋体"/>
          <w:sz w:val="24"/>
          <w:szCs w:val="24"/>
        </w:rPr>
        <w:t>等级测评</w:t>
      </w:r>
    </w:p>
    <w:p>
      <w:pPr>
        <w:spacing w:line="360" w:lineRule="auto"/>
        <w:ind w:firstLine="480" w:firstLineChars="200"/>
        <w:rPr>
          <w:rFonts w:ascii="宋体" w:hAnsi="宋体" w:cs="宋体"/>
          <w:kern w:val="0"/>
          <w:sz w:val="24"/>
        </w:rPr>
      </w:pPr>
      <w:r>
        <w:rPr>
          <w:rFonts w:hint="eastAsia" w:ascii="宋体" w:hAnsi="宋体" w:cs="宋体"/>
          <w:kern w:val="0"/>
          <w:sz w:val="24"/>
        </w:rPr>
        <w:t>信息系统等级保护测评是信息安全等级保护工作的重要环节之一，它是通过信息安全等级测评机构，对已经完成等级保护建设的信息系统定期进行等级测评，以确保信息系统的安全保护措施符合相应等级的安全要求。</w:t>
      </w:r>
    </w:p>
    <w:p>
      <w:pPr>
        <w:pStyle w:val="40"/>
        <w:spacing w:line="360" w:lineRule="auto"/>
        <w:ind w:left="21" w:leftChars="10" w:firstLine="482" w:firstLineChars="200"/>
        <w:rPr>
          <w:rFonts w:ascii="宋体" w:hAnsi="宋体" w:cs="宋体"/>
          <w:b/>
          <w:sz w:val="24"/>
        </w:rPr>
      </w:pPr>
      <w:r>
        <w:rPr>
          <w:rFonts w:hint="eastAsia" w:ascii="宋体" w:hAnsi="宋体" w:cs="宋体"/>
          <w:b/>
          <w:sz w:val="24"/>
        </w:rPr>
        <w:t>本次信息系统安全等级保护测评过程包括四个阶段：</w:t>
      </w:r>
    </w:p>
    <w:p>
      <w:pPr>
        <w:spacing w:line="360" w:lineRule="auto"/>
        <w:ind w:firstLine="480" w:firstLineChars="200"/>
        <w:rPr>
          <w:rFonts w:ascii="宋体" w:hAnsi="宋体" w:cs="宋体"/>
          <w:kern w:val="0"/>
          <w:sz w:val="24"/>
        </w:rPr>
      </w:pPr>
      <w:r>
        <w:rPr>
          <w:rFonts w:hint="eastAsia" w:ascii="宋体" w:hAnsi="宋体" w:cs="宋体"/>
          <w:kern w:val="0"/>
          <w:sz w:val="24"/>
        </w:rPr>
        <w:t>测评受理阶段：被测单位提出测评申请，测评中心对被测单位的申请材料进行审查，在双方达成共识的情况下，双方签定保密协议、合同。</w:t>
      </w:r>
    </w:p>
    <w:p>
      <w:pPr>
        <w:spacing w:line="360" w:lineRule="auto"/>
        <w:ind w:firstLine="480" w:firstLineChars="200"/>
        <w:rPr>
          <w:rFonts w:ascii="宋体" w:hAnsi="宋体" w:cs="宋体"/>
          <w:kern w:val="0"/>
          <w:sz w:val="24"/>
        </w:rPr>
      </w:pPr>
      <w:r>
        <w:rPr>
          <w:rFonts w:hint="eastAsia" w:ascii="宋体" w:hAnsi="宋体" w:cs="宋体"/>
          <w:kern w:val="0"/>
          <w:sz w:val="24"/>
        </w:rPr>
        <w:t>测评准备阶段：测评中心成立项目组后，工作人员到被测评单位了解被测评系统的信息，写信息系统业务调查报告，与被测评单位共同讨论评测方案，测评工作计划，达成共同认可的测评方案和测评实施计划。</w:t>
      </w:r>
    </w:p>
    <w:p>
      <w:pPr>
        <w:spacing w:line="360" w:lineRule="auto"/>
        <w:ind w:firstLine="480" w:firstLineChars="200"/>
        <w:rPr>
          <w:rFonts w:ascii="宋体" w:hAnsi="宋体" w:cs="宋体"/>
          <w:kern w:val="0"/>
          <w:sz w:val="24"/>
        </w:rPr>
      </w:pPr>
      <w:r>
        <w:rPr>
          <w:rFonts w:hint="eastAsia" w:ascii="宋体" w:hAnsi="宋体" w:cs="宋体"/>
          <w:kern w:val="0"/>
          <w:sz w:val="24"/>
        </w:rPr>
        <w:t>检查、测试阶段：进入现场检测测试阶段，测评中心项目组成员在参照系统体系建设相关资料（系统建设方案、技术资料、管理资料、日常维护资料）后，对测评单位进行安全管理机构检查、安全管理制度检查、系统备案依据检查、技术要求落实情况测评、定期评估执行情况检查、等级响应、处理检查、培训和考核检查、生成管理检查记录、技术检查记录和核查报告。</w:t>
      </w:r>
    </w:p>
    <w:p>
      <w:pPr>
        <w:spacing w:line="360" w:lineRule="auto"/>
        <w:ind w:firstLine="480" w:firstLineChars="200"/>
        <w:rPr>
          <w:rFonts w:ascii="宋体" w:hAnsi="宋体" w:cs="宋体"/>
          <w:kern w:val="0"/>
          <w:sz w:val="24"/>
        </w:rPr>
      </w:pPr>
      <w:r>
        <w:rPr>
          <w:rFonts w:hint="eastAsia" w:ascii="宋体" w:hAnsi="宋体" w:cs="宋体"/>
          <w:kern w:val="0"/>
          <w:sz w:val="24"/>
        </w:rPr>
        <w:t>综合分析阶段：测评中心最后进行核查结果分析，等级符合性分析、专家评审，生成等级测评报告和安全建议报告。</w:t>
      </w:r>
    </w:p>
    <w:p>
      <w:pPr>
        <w:spacing w:line="360" w:lineRule="auto"/>
        <w:ind w:firstLine="482" w:firstLineChars="200"/>
        <w:rPr>
          <w:rFonts w:ascii="宋体" w:hAnsi="宋体" w:cs="宋体"/>
          <w:b/>
          <w:sz w:val="24"/>
        </w:rPr>
      </w:pPr>
      <w:r>
        <w:rPr>
          <w:rFonts w:hint="eastAsia" w:ascii="宋体" w:hAnsi="宋体" w:cs="宋体"/>
          <w:b/>
          <w:sz w:val="24"/>
        </w:rPr>
        <w:t>具体流程如下：</w:t>
      </w:r>
    </w:p>
    <w:p>
      <w:pPr>
        <w:jc w:val="center"/>
        <w:rPr>
          <w:rFonts w:ascii="宋体" w:hAnsi="宋体" w:cs="宋体"/>
        </w:rPr>
      </w:pPr>
      <w:r>
        <w:rPr>
          <w:rFonts w:hint="eastAsia" w:ascii="宋体" w:hAnsi="宋体" w:cs="宋体"/>
          <w:sz w:val="24"/>
        </w:rPr>
        <w:drawing>
          <wp:inline distT="0" distB="0" distL="114300" distR="114300">
            <wp:extent cx="4943475" cy="6545580"/>
            <wp:effectExtent l="0" t="0" r="952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4943475" cy="6545580"/>
                    </a:xfrm>
                    <a:prstGeom prst="rect">
                      <a:avLst/>
                    </a:prstGeom>
                    <a:noFill/>
                    <a:ln>
                      <a:noFill/>
                    </a:ln>
                  </pic:spPr>
                </pic:pic>
              </a:graphicData>
            </a:graphic>
          </wp:inline>
        </w:drawing>
      </w:r>
    </w:p>
    <w:p>
      <w:pPr>
        <w:pStyle w:val="7"/>
        <w:numPr>
          <w:ilvl w:val="0"/>
          <w:numId w:val="9"/>
        </w:numPr>
        <w:rPr>
          <w:rFonts w:ascii="宋体" w:hAnsi="宋体" w:eastAsia="宋体" w:cs="宋体"/>
          <w:sz w:val="24"/>
          <w:szCs w:val="24"/>
        </w:rPr>
      </w:pPr>
      <w:r>
        <w:rPr>
          <w:rFonts w:hint="eastAsia" w:ascii="宋体" w:hAnsi="宋体" w:eastAsia="宋体" w:cs="宋体"/>
          <w:sz w:val="24"/>
          <w:szCs w:val="24"/>
        </w:rPr>
        <w:t>安全整改</w:t>
      </w:r>
    </w:p>
    <w:p>
      <w:pPr>
        <w:spacing w:line="360" w:lineRule="auto"/>
        <w:ind w:firstLine="420" w:firstLineChars="200"/>
      </w:pPr>
      <w:r>
        <w:rPr>
          <w:rFonts w:hint="eastAsia"/>
        </w:rPr>
        <w:t>等级测评完成后，应根据等级测评中发现存在的问题开展安全整改工作，建设信息安全保护设施，建立安全制度，落实安全责任，对信息系统进行保护。</w:t>
      </w:r>
    </w:p>
    <w:p>
      <w:pPr>
        <w:spacing w:line="360" w:lineRule="auto"/>
        <w:ind w:firstLine="420" w:firstLineChars="200"/>
      </w:pPr>
      <w:r>
        <w:rPr>
          <w:rFonts w:hint="eastAsia"/>
        </w:rPr>
        <w:t>依据国家信息安全等级保护制度，根据系统在不同阶段的需求、业务特性及应用重点，采用等级化的安全体系设计方法，帮助构建一套覆盖全面、重点突出、节约成本、持续运行的等级化安全防御体系。</w:t>
      </w:r>
    </w:p>
    <w:p>
      <w:pPr>
        <w:spacing w:line="360" w:lineRule="auto"/>
        <w:ind w:firstLine="420" w:firstLineChars="200"/>
      </w:pPr>
      <w:r>
        <w:rPr>
          <w:rFonts w:hint="eastAsia"/>
        </w:rPr>
        <w:t>“等级化”设计方法，是根据需要保护的信息系统确定不同的安全等级，根据安全等级确定不同等级的安全目标，形成不同等级的安全措施进行保护。等级保护的精髓思想就是“等级化”。等级保护可以把业务系统、信息资产、安全边界等进行“等级化”，分而治之，从而实现信息安全等级保护的“等级保护、适度安全”思想。</w:t>
      </w:r>
    </w:p>
    <w:p>
      <w:pPr>
        <w:spacing w:line="360" w:lineRule="auto"/>
        <w:ind w:firstLine="420" w:firstLineChars="200"/>
      </w:pPr>
      <w:r>
        <w:rPr>
          <w:rFonts w:hint="eastAsia"/>
        </w:rPr>
        <w:t>整体的安全保障体系包括技术和管理两大部分，其中技术部分根据《信息系统安全等级保护基本要求》分为物理安全、网络安全、主机安全、应用安全、数据安全五个方面进行建设；而管理部分根据《信息系统安全等级保护基本要求》则分为安全管理制度、安全管理机构、人员安全管理、系统建设管理、系统运维管理五个方面。</w:t>
      </w:r>
    </w:p>
    <w:p>
      <w:pPr>
        <w:spacing w:line="360" w:lineRule="auto"/>
        <w:ind w:firstLine="420" w:firstLineChars="200"/>
      </w:pPr>
      <w:r>
        <w:rPr>
          <w:rFonts w:hint="eastAsia"/>
        </w:rPr>
        <w:t>整个安全保障体系各部分既有机结合，又相互支撑。之间的关系可以理解为“构建安全管理机构，制定完善的安全管理制度及安全策略，由相关人员，利用技术工手段及相关工具，进行系统建设和运行维护。”</w:t>
      </w:r>
    </w:p>
    <w:p>
      <w:pPr>
        <w:spacing w:line="360" w:lineRule="auto"/>
        <w:ind w:firstLine="420" w:firstLineChars="200"/>
      </w:pPr>
      <w:r>
        <w:rPr>
          <w:rFonts w:hint="eastAsia"/>
        </w:rPr>
        <w:t>根据等级化安全保障体系的设计思路，等级保护的设计与实施通过以下步骤进行：</w:t>
      </w:r>
    </w:p>
    <w:p>
      <w:pPr>
        <w:pStyle w:val="85"/>
        <w:spacing w:before="120" w:after="120"/>
        <w:rPr>
          <w:rFonts w:ascii="宋体" w:hAnsi="宋体"/>
          <w:szCs w:val="24"/>
        </w:rPr>
      </w:pPr>
      <w:r>
        <w:rPr>
          <w:rFonts w:ascii="Arial" w:hAnsi="Arial" w:cs="Arial"/>
          <w:szCs w:val="24"/>
        </w:rPr>
        <w:t>●</w:t>
      </w:r>
      <w:r>
        <w:rPr>
          <w:rFonts w:hint="eastAsia" w:ascii="宋体" w:hAnsi="宋体"/>
          <w:szCs w:val="24"/>
        </w:rPr>
        <w:t>系统识别与定级：确定保护对象，通过分析系统所属类型、所属信息类别、服务范围以及业务对系统的依赖程度确定系统的等级。通过此步骤充分了解系统状况，包括系统业务流程和功能模块，以及确定系统的等级，为下一步安全域设计、安全保障体系框架设计、安全要求选择以及安全措施选择提供依据。</w:t>
      </w:r>
    </w:p>
    <w:p>
      <w:pPr>
        <w:pStyle w:val="85"/>
        <w:spacing w:before="120" w:after="120"/>
        <w:rPr>
          <w:rFonts w:ascii="宋体" w:hAnsi="宋体"/>
          <w:szCs w:val="24"/>
        </w:rPr>
      </w:pPr>
      <w:r>
        <w:rPr>
          <w:rFonts w:ascii="Arial" w:hAnsi="Arial" w:eastAsia="仿宋" w:cs="Arial"/>
          <w:szCs w:val="24"/>
        </w:rPr>
        <w:t>●</w:t>
      </w:r>
      <w:r>
        <w:rPr>
          <w:rFonts w:hint="eastAsia" w:ascii="宋体" w:hAnsi="宋体"/>
          <w:szCs w:val="24"/>
        </w:rPr>
        <w:t>安全域设计：根据第一步的结果，通过分析系统业务流程、功能模块，根据安全域划分原则设计系统安全域架构。通过安全域设计将系统分解为多个层次，为下一步安全保障体系框架设计提供基础框架。</w:t>
      </w:r>
    </w:p>
    <w:p>
      <w:pPr>
        <w:pStyle w:val="85"/>
        <w:spacing w:before="120" w:after="120"/>
        <w:rPr>
          <w:rFonts w:ascii="宋体" w:hAnsi="宋体"/>
          <w:szCs w:val="24"/>
        </w:rPr>
      </w:pPr>
      <w:r>
        <w:rPr>
          <w:rFonts w:ascii="Arial" w:hAnsi="Arial" w:eastAsia="仿宋" w:cs="Arial"/>
          <w:szCs w:val="24"/>
        </w:rPr>
        <w:t>●</w:t>
      </w:r>
      <w:r>
        <w:rPr>
          <w:rFonts w:hint="eastAsia" w:ascii="宋体" w:hAnsi="宋体"/>
          <w:szCs w:val="24"/>
        </w:rPr>
        <w:t>确定安全域安全要求：参照国家相关等级保护安全要求，设计不同安全域的安全要求。通过安全域适用安全等级选择方法确定系统各区域等级，明确各安全域所需采用的安全指标。</w:t>
      </w:r>
    </w:p>
    <w:p>
      <w:pPr>
        <w:pStyle w:val="85"/>
        <w:spacing w:before="120" w:after="120"/>
        <w:rPr>
          <w:rFonts w:ascii="宋体" w:hAnsi="宋体"/>
          <w:szCs w:val="24"/>
        </w:rPr>
      </w:pPr>
      <w:r>
        <w:rPr>
          <w:rFonts w:ascii="Arial" w:hAnsi="Arial" w:eastAsia="微软雅黑" w:cs="Arial"/>
          <w:szCs w:val="24"/>
        </w:rPr>
        <w:t>●</w:t>
      </w:r>
      <w:r>
        <w:rPr>
          <w:rFonts w:hint="eastAsia" w:ascii="宋体" w:hAnsi="宋体"/>
          <w:szCs w:val="24"/>
        </w:rPr>
        <w:t>评估现状：根据各等级的安全要求确定各等级的评估内容，根据国家相关风险评估方法，对系统各层次安全域进行有针对性的等级风险评估。并找出系统安全现状与等级要求的差距，形成完整准确的按需防御的安全需求。通过等级风险评估，可以明确各层次安全域相应等级的安全差距，为下一步安全技术解决方案设计和安全管理建设提供依据。</w:t>
      </w:r>
    </w:p>
    <w:p>
      <w:pPr>
        <w:pStyle w:val="85"/>
        <w:spacing w:before="120" w:after="120"/>
        <w:rPr>
          <w:rFonts w:ascii="宋体" w:hAnsi="宋体"/>
          <w:szCs w:val="24"/>
        </w:rPr>
      </w:pPr>
      <w:r>
        <w:rPr>
          <w:rFonts w:ascii="Arial" w:hAnsi="Arial" w:cs="Arial"/>
          <w:szCs w:val="24"/>
        </w:rPr>
        <w:t>●</w:t>
      </w:r>
      <w:r>
        <w:rPr>
          <w:rFonts w:hint="eastAsia" w:ascii="宋体" w:hAnsi="宋体"/>
          <w:szCs w:val="24"/>
        </w:rPr>
        <w:t>安全保障体系方案设计：根据安全域框架，设计系统各个层次的安全保障体系框架以及具体方案。包括：各层次的安全保障体系框架形成系统整体的安全保障体系框架；详细安全技术设计、安全管理设计。</w:t>
      </w:r>
    </w:p>
    <w:p>
      <w:pPr>
        <w:pStyle w:val="85"/>
        <w:spacing w:before="120" w:after="120"/>
        <w:rPr>
          <w:rFonts w:ascii="宋体" w:hAnsi="宋体"/>
          <w:szCs w:val="24"/>
        </w:rPr>
      </w:pPr>
      <w:r>
        <w:rPr>
          <w:rFonts w:ascii="Arial" w:hAnsi="Arial" w:cs="Arial"/>
          <w:szCs w:val="24"/>
        </w:rPr>
        <w:t>●</w:t>
      </w:r>
      <w:r>
        <w:rPr>
          <w:rFonts w:hint="eastAsia" w:ascii="宋体" w:hAnsi="宋体"/>
          <w:szCs w:val="24"/>
        </w:rPr>
        <w:t>安全建设：根据方案设计内容逐步进行安全建设，满足方案设计并要符合的安全需求，满足等级保护相应等级的基本要求，实现按需防御。</w:t>
      </w:r>
    </w:p>
    <w:p>
      <w:pPr>
        <w:pStyle w:val="85"/>
        <w:spacing w:before="120" w:after="120"/>
        <w:rPr>
          <w:rFonts w:ascii="宋体" w:hAnsi="宋体"/>
          <w:szCs w:val="24"/>
        </w:rPr>
      </w:pPr>
      <w:r>
        <w:rPr>
          <w:rFonts w:ascii="Arial" w:hAnsi="Arial" w:cs="Arial"/>
          <w:szCs w:val="24"/>
        </w:rPr>
        <w:t>●</w:t>
      </w:r>
      <w:r>
        <w:rPr>
          <w:rFonts w:hint="eastAsia" w:ascii="宋体" w:hAnsi="宋体"/>
          <w:szCs w:val="24"/>
        </w:rPr>
        <w:t>持续安全运维：通过安全预警、安全监控、安全加固、安全审计、应急响应等，从事前、事中、事后三个方面进行安全运行维护，确保系统的持续安全，满足持续性按需防御的安全需求。</w:t>
      </w:r>
    </w:p>
    <w:p>
      <w:pPr>
        <w:spacing w:line="360" w:lineRule="auto"/>
        <w:ind w:firstLine="420" w:firstLineChars="200"/>
      </w:pPr>
      <w:r>
        <w:rPr>
          <w:rFonts w:hint="eastAsia"/>
        </w:rPr>
        <w:t>通过如上步骤，系统可以形成整体的等级化的安全保障体系，同时根据安全技术建设和安全管理建设，保障信息整体的安全。而应该特别注意的是：等级保护不是一个项目，它应该是一个不断循环的过程，所以通过整个安全项目、安全服务的实施，来保证信息系统等级保护的建设能够持续的运行，能够使整个系统随着环境的变化达到持续的安全。</w:t>
      </w:r>
    </w:p>
    <w:p>
      <w:pPr>
        <w:pStyle w:val="7"/>
        <w:numPr>
          <w:ilvl w:val="0"/>
          <w:numId w:val="9"/>
        </w:numPr>
        <w:rPr>
          <w:rFonts w:ascii="宋体" w:hAnsi="宋体" w:eastAsia="宋体" w:cs="宋体"/>
          <w:sz w:val="24"/>
          <w:szCs w:val="24"/>
        </w:rPr>
      </w:pPr>
      <w:r>
        <w:rPr>
          <w:rFonts w:hint="eastAsia" w:ascii="宋体" w:hAnsi="宋体" w:eastAsia="宋体" w:cs="宋体"/>
          <w:sz w:val="24"/>
          <w:szCs w:val="24"/>
        </w:rPr>
        <w:t>监督检查</w:t>
      </w:r>
    </w:p>
    <w:p>
      <w:pPr>
        <w:spacing w:line="360" w:lineRule="auto"/>
        <w:ind w:firstLine="420" w:firstLineChars="200"/>
      </w:pPr>
      <w:r>
        <w:rPr>
          <w:rFonts w:hint="eastAsia"/>
        </w:rPr>
        <w:t>受理备案的公安机关应当对信息系统的运营、使用单位的信息安全等级保护工作情况进行检查。对第三级信息系统每年至少检查一次，对第四级信息系统每半年至少检查一次。</w:t>
      </w:r>
    </w:p>
    <w:p>
      <w:pPr>
        <w:spacing w:line="360" w:lineRule="auto"/>
        <w:ind w:firstLine="420" w:firstLineChars="200"/>
      </w:pPr>
      <w:r>
        <w:rPr>
          <w:rFonts w:hint="eastAsia"/>
        </w:rPr>
        <w:t>检查内容如下：</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信息系统安全需求是否发生变化，原定保护等级是否准确；</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运营、使用单位安全管理制度、措施的落实情况；</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运营、使用单位及其主管部门对信息系统安全状况的检查情况；</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系统安全等级测评是否符合要求；</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 xml:space="preserve">信息安全产品使用是否符合要求； </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信息系统安全整改情况；</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备案材料与运营、使用单位、信息系统的符合情况；</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其他应当进行监督检查的事项。</w:t>
      </w:r>
    </w:p>
    <w:p>
      <w:pPr>
        <w:spacing w:line="360" w:lineRule="auto"/>
        <w:ind w:firstLine="420" w:firstLineChars="200"/>
      </w:pPr>
      <w:r>
        <w:rPr>
          <w:rFonts w:hint="eastAsia"/>
        </w:rPr>
        <w:t>信息系统运营、使用单位应当接受公安机关、国家指定的专门部门的安全监督、检查、指导，如实向公安机关、国家指定的专门部门提供下列有关信息安全保护的信息资料及数据文件：</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信息系统备案事项变更情况；</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安全组织、人员的变动情况；</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信息安全管理制度、措施变更情况；</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信息系统运行状况记录；</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运营、使用单位及主管部门定期对信息系统安全状况的检查记录；</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 xml:space="preserve">对信息系统开展等级测评的技术测评报告； </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信息安全产品使用的变更情况；</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 xml:space="preserve">信息安全事件应急预案，信息安全事件应急处置结果报告； </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信息系统安全建设、整改结果报告。</w:t>
      </w:r>
    </w:p>
    <w:p>
      <w:pPr>
        <w:spacing w:line="360" w:lineRule="auto"/>
        <w:ind w:firstLine="420" w:firstLineChars="200"/>
      </w:pPr>
      <w:r>
        <w:rPr>
          <w:rFonts w:hint="eastAsia"/>
        </w:rPr>
        <w:t>公安机关检查发现信息系统安全保护状况不符合信息安全等级保护有关管理规范和技术标准的，可向运营、使用单位发出整改通知。运营、使用单位应当根据整改通知要求，按照管理规范和技术标准进行整改。整改完成后，应当将整改报告向公安机关备案。必要时，公安机关可以对整改情况组织检查。</w:t>
      </w:r>
    </w:p>
    <w:p>
      <w:pPr>
        <w:pStyle w:val="14"/>
        <w:ind w:firstLine="0"/>
      </w:pPr>
    </w:p>
    <w:bookmarkEnd w:id="65"/>
    <w:p/>
    <w:p/>
    <w:p/>
    <w:p/>
    <w:p/>
    <w:p/>
    <w:p/>
    <w:p/>
    <w:p/>
    <w:p/>
    <w:p/>
    <w:p/>
    <w:p/>
    <w:p/>
    <w:p/>
    <w:p>
      <w:pPr>
        <w:pStyle w:val="4"/>
        <w:spacing w:line="480" w:lineRule="exact"/>
        <w:rPr>
          <w:rFonts w:ascii="宋体" w:hAnsi="宋体" w:eastAsia="宋体"/>
          <w:color w:val="000000"/>
        </w:rPr>
        <w:sectPr>
          <w:pgSz w:w="11906" w:h="16838"/>
          <w:pgMar w:top="1247" w:right="1134" w:bottom="1247" w:left="1134" w:header="851" w:footer="992" w:gutter="0"/>
          <w:cols w:space="720" w:num="1"/>
          <w:docGrid w:type="lines" w:linePitch="312" w:charSpace="0"/>
        </w:sectPr>
      </w:pPr>
    </w:p>
    <w:p>
      <w:pPr>
        <w:pStyle w:val="4"/>
        <w:spacing w:line="480" w:lineRule="exact"/>
        <w:rPr>
          <w:rFonts w:ascii="宋体" w:hAnsi="宋体" w:eastAsia="宋体"/>
          <w:color w:val="000000"/>
        </w:rPr>
      </w:pPr>
      <w:r>
        <w:rPr>
          <w:rFonts w:hint="eastAsia" w:ascii="宋体" w:hAnsi="宋体" w:eastAsia="宋体"/>
          <w:color w:val="000000"/>
        </w:rPr>
        <w:t>第六章  竞争性磋商办法</w:t>
      </w:r>
    </w:p>
    <w:p>
      <w:pPr>
        <w:spacing w:line="360" w:lineRule="auto"/>
        <w:ind w:firstLine="542" w:firstLineChars="225"/>
        <w:jc w:val="left"/>
        <w:rPr>
          <w:rFonts w:ascii="宋体" w:hAnsi="宋体"/>
          <w:b/>
          <w:color w:val="000000"/>
          <w:sz w:val="24"/>
        </w:rPr>
      </w:pPr>
      <w:r>
        <w:rPr>
          <w:rFonts w:hint="eastAsia" w:ascii="宋体" w:hAnsi="宋体"/>
          <w:b/>
          <w:color w:val="000000"/>
          <w:sz w:val="24"/>
        </w:rPr>
        <w:t>1、竞争性磋商小组组成</w:t>
      </w:r>
    </w:p>
    <w:p>
      <w:pPr>
        <w:spacing w:line="360" w:lineRule="auto"/>
        <w:ind w:firstLine="540" w:firstLineChars="225"/>
        <w:jc w:val="left"/>
        <w:rPr>
          <w:rFonts w:ascii="宋体" w:hAnsi="宋体"/>
          <w:color w:val="000000"/>
          <w:sz w:val="24"/>
        </w:rPr>
      </w:pPr>
      <w:r>
        <w:rPr>
          <w:rFonts w:hint="eastAsia" w:ascii="宋体" w:hAnsi="宋体"/>
          <w:color w:val="000000"/>
          <w:sz w:val="24"/>
        </w:rPr>
        <w:t>采购人依法组建竞争性磋商小组，竞争性磋商小组由3名及以上的单数相关技术及经济方面的专家组成。竞争性磋商小组根据国务院七部委2001年7月5日第12号令，负责本次采购的磋商报价磋商工作。</w:t>
      </w:r>
    </w:p>
    <w:p>
      <w:pPr>
        <w:spacing w:line="360" w:lineRule="auto"/>
        <w:ind w:firstLine="542" w:firstLineChars="225"/>
        <w:jc w:val="left"/>
        <w:rPr>
          <w:rFonts w:ascii="宋体" w:hAnsi="宋体"/>
          <w:b/>
          <w:color w:val="000000"/>
          <w:sz w:val="24"/>
        </w:rPr>
      </w:pPr>
      <w:r>
        <w:rPr>
          <w:rFonts w:hint="eastAsia" w:ascii="宋体" w:hAnsi="宋体"/>
          <w:b/>
          <w:color w:val="000000"/>
          <w:sz w:val="24"/>
        </w:rPr>
        <w:t>2、竞争性磋商纪律</w:t>
      </w:r>
    </w:p>
    <w:p>
      <w:pPr>
        <w:spacing w:line="360" w:lineRule="auto"/>
        <w:ind w:firstLine="540" w:firstLineChars="225"/>
        <w:jc w:val="left"/>
        <w:rPr>
          <w:rFonts w:ascii="宋体" w:hAnsi="宋体"/>
          <w:color w:val="000000"/>
          <w:sz w:val="24"/>
        </w:rPr>
      </w:pPr>
      <w:r>
        <w:rPr>
          <w:rFonts w:hint="eastAsia" w:ascii="宋体" w:hAnsi="宋体"/>
          <w:color w:val="000000"/>
          <w:sz w:val="24"/>
        </w:rPr>
        <w:t>2.1竞争性磋商小组的成员应严格遵守评标活动“公平、公正、科学、择优”的原则，严格自律，自觉接受有关部门的监督。</w:t>
      </w:r>
    </w:p>
    <w:p>
      <w:pPr>
        <w:spacing w:line="360" w:lineRule="auto"/>
        <w:ind w:firstLine="540" w:firstLineChars="225"/>
        <w:jc w:val="left"/>
        <w:rPr>
          <w:rFonts w:ascii="宋体" w:hAnsi="宋体"/>
          <w:color w:val="000000"/>
          <w:sz w:val="24"/>
        </w:rPr>
      </w:pPr>
      <w:r>
        <w:rPr>
          <w:rFonts w:hint="eastAsia" w:ascii="宋体" w:hAnsi="宋体"/>
          <w:color w:val="000000"/>
          <w:sz w:val="24"/>
        </w:rPr>
        <w:t>2.2磋商及报价过程中，竞争性磋商小组成员不得擅离职守，影响磋商报价程序正常进行。</w:t>
      </w:r>
    </w:p>
    <w:p>
      <w:pPr>
        <w:spacing w:line="360" w:lineRule="auto"/>
        <w:ind w:firstLine="540" w:firstLineChars="225"/>
        <w:jc w:val="left"/>
        <w:rPr>
          <w:rFonts w:ascii="宋体" w:hAnsi="宋体"/>
          <w:color w:val="000000"/>
          <w:sz w:val="24"/>
        </w:rPr>
      </w:pPr>
      <w:r>
        <w:rPr>
          <w:rFonts w:hint="eastAsia" w:ascii="宋体" w:hAnsi="宋体"/>
          <w:color w:val="000000"/>
          <w:sz w:val="24"/>
        </w:rPr>
        <w:t>2.3竞争性磋商小组成员不得与竞争性磋商申请人、其他利害关系人私下接触，不得向竞争性磋商申请人、其他利害关系人泄漏对磋商报价申请文件的评审、比较、成交候选人的推荐以及与磋商报价有关的其它情况。</w:t>
      </w:r>
    </w:p>
    <w:p>
      <w:pPr>
        <w:spacing w:line="360" w:lineRule="auto"/>
        <w:ind w:firstLine="540" w:firstLineChars="225"/>
        <w:jc w:val="left"/>
        <w:rPr>
          <w:rFonts w:ascii="宋体" w:hAnsi="宋体"/>
          <w:color w:val="000000"/>
          <w:sz w:val="24"/>
        </w:rPr>
      </w:pPr>
      <w:r>
        <w:rPr>
          <w:rFonts w:hint="eastAsia" w:ascii="宋体" w:hAnsi="宋体"/>
          <w:color w:val="000000"/>
          <w:sz w:val="24"/>
        </w:rPr>
        <w:t>2.4竞争性磋商过程中，不许任何人把磋商报价申请文件及其汇总材料带出评审会场，完成后所有材料如数交还。</w:t>
      </w:r>
    </w:p>
    <w:p>
      <w:pPr>
        <w:spacing w:line="360" w:lineRule="auto"/>
        <w:ind w:firstLine="540" w:firstLineChars="225"/>
        <w:jc w:val="left"/>
        <w:rPr>
          <w:rFonts w:ascii="宋体" w:hAnsi="宋体"/>
          <w:color w:val="000000"/>
          <w:sz w:val="24"/>
        </w:rPr>
      </w:pPr>
      <w:r>
        <w:rPr>
          <w:rFonts w:hint="eastAsia" w:ascii="宋体" w:hAnsi="宋体"/>
          <w:color w:val="000000"/>
          <w:sz w:val="24"/>
        </w:rPr>
        <w:t>2.5竞争性磋商过程中，竞争性磋商小组成员及工作人员以外的人员不得随意进入会场。</w:t>
      </w:r>
    </w:p>
    <w:p>
      <w:pPr>
        <w:spacing w:line="360" w:lineRule="auto"/>
        <w:ind w:firstLine="542" w:firstLineChars="225"/>
        <w:jc w:val="left"/>
        <w:rPr>
          <w:rFonts w:ascii="宋体" w:hAnsi="宋体"/>
          <w:b/>
          <w:color w:val="000000"/>
          <w:sz w:val="24"/>
        </w:rPr>
      </w:pPr>
      <w:r>
        <w:rPr>
          <w:rFonts w:hint="eastAsia" w:ascii="宋体" w:hAnsi="宋体"/>
          <w:b/>
          <w:color w:val="000000"/>
          <w:sz w:val="24"/>
        </w:rPr>
        <w:t>3、竞争性磋商原则及程序</w:t>
      </w:r>
    </w:p>
    <w:p>
      <w:pPr>
        <w:spacing w:line="360" w:lineRule="auto"/>
        <w:ind w:firstLine="542" w:firstLineChars="225"/>
        <w:jc w:val="left"/>
        <w:rPr>
          <w:rFonts w:ascii="宋体" w:hAnsi="宋体"/>
          <w:b/>
          <w:color w:val="000000"/>
          <w:sz w:val="24"/>
        </w:rPr>
      </w:pPr>
      <w:r>
        <w:rPr>
          <w:rFonts w:hint="eastAsia" w:ascii="宋体" w:hAnsi="宋体"/>
          <w:b/>
          <w:color w:val="000000"/>
          <w:sz w:val="24"/>
        </w:rPr>
        <w:t>3.1竞争性磋商准备</w:t>
      </w:r>
    </w:p>
    <w:p>
      <w:pPr>
        <w:spacing w:line="360" w:lineRule="auto"/>
        <w:ind w:firstLine="540" w:firstLineChars="225"/>
        <w:jc w:val="left"/>
        <w:rPr>
          <w:rFonts w:ascii="宋体" w:hAnsi="宋体"/>
          <w:color w:val="000000"/>
          <w:sz w:val="24"/>
        </w:rPr>
      </w:pPr>
      <w:r>
        <w:rPr>
          <w:rFonts w:hint="eastAsia" w:ascii="宋体" w:hAnsi="宋体"/>
          <w:color w:val="000000"/>
          <w:sz w:val="24"/>
        </w:rPr>
        <w:t>竞争性磋商小组在进行磋商及报价前，应认真阅读采购文件，了解和熟悉以下内容：</w:t>
      </w:r>
    </w:p>
    <w:p>
      <w:pPr>
        <w:spacing w:line="360" w:lineRule="auto"/>
        <w:ind w:firstLine="540" w:firstLineChars="225"/>
        <w:jc w:val="left"/>
        <w:rPr>
          <w:rFonts w:ascii="宋体" w:hAnsi="宋体"/>
          <w:color w:val="000000"/>
          <w:sz w:val="24"/>
        </w:rPr>
      </w:pPr>
      <w:r>
        <w:rPr>
          <w:rFonts w:hint="eastAsia" w:ascii="宋体" w:hAnsi="宋体"/>
          <w:color w:val="000000"/>
          <w:sz w:val="24"/>
        </w:rPr>
        <w:t>3.1.1采购项目的范围和性质。</w:t>
      </w:r>
    </w:p>
    <w:p>
      <w:pPr>
        <w:spacing w:line="360" w:lineRule="auto"/>
        <w:ind w:firstLine="540" w:firstLineChars="225"/>
        <w:jc w:val="left"/>
        <w:rPr>
          <w:rFonts w:ascii="宋体" w:hAnsi="宋体"/>
          <w:color w:val="000000"/>
          <w:sz w:val="24"/>
        </w:rPr>
      </w:pPr>
      <w:r>
        <w:rPr>
          <w:rFonts w:hint="eastAsia" w:ascii="宋体" w:hAnsi="宋体"/>
          <w:color w:val="000000"/>
          <w:sz w:val="24"/>
        </w:rPr>
        <w:t>3.1.2采购文件中规定的主要技术要求、标准和商务条款。</w:t>
      </w:r>
    </w:p>
    <w:p>
      <w:pPr>
        <w:spacing w:line="360" w:lineRule="auto"/>
        <w:ind w:firstLine="540" w:firstLineChars="225"/>
        <w:jc w:val="left"/>
        <w:rPr>
          <w:rFonts w:ascii="宋体" w:hAnsi="宋体"/>
          <w:color w:val="000000"/>
          <w:sz w:val="24"/>
        </w:rPr>
      </w:pPr>
      <w:r>
        <w:rPr>
          <w:rFonts w:hint="eastAsia" w:ascii="宋体" w:hAnsi="宋体"/>
          <w:color w:val="000000"/>
          <w:sz w:val="24"/>
        </w:rPr>
        <w:t>3.1.3采购文件规定的磋商报价方法和在磋商报价过程中考虑的相关因素。</w:t>
      </w:r>
    </w:p>
    <w:p>
      <w:pPr>
        <w:spacing w:line="360" w:lineRule="auto"/>
        <w:ind w:firstLine="542" w:firstLineChars="225"/>
        <w:jc w:val="left"/>
        <w:rPr>
          <w:rFonts w:ascii="宋体" w:hAnsi="宋体"/>
          <w:b/>
          <w:color w:val="000000"/>
          <w:sz w:val="24"/>
        </w:rPr>
      </w:pPr>
      <w:r>
        <w:rPr>
          <w:rFonts w:hint="eastAsia" w:ascii="宋体" w:hAnsi="宋体"/>
          <w:b/>
          <w:color w:val="000000"/>
          <w:sz w:val="24"/>
        </w:rPr>
        <w:t>3.2初步评审</w:t>
      </w:r>
      <w:r>
        <w:rPr>
          <w:rFonts w:ascii="宋体" w:hAnsi="宋体"/>
          <w:b/>
          <w:color w:val="000000"/>
          <w:sz w:val="24"/>
        </w:rPr>
        <w:t>（包括</w:t>
      </w:r>
      <w:r>
        <w:rPr>
          <w:rFonts w:hint="eastAsia" w:ascii="宋体" w:hAnsi="宋体"/>
          <w:b/>
          <w:color w:val="000000"/>
          <w:sz w:val="24"/>
        </w:rPr>
        <w:t>资格性评审</w:t>
      </w:r>
      <w:r>
        <w:rPr>
          <w:rFonts w:ascii="宋体" w:hAnsi="宋体"/>
          <w:b/>
          <w:color w:val="000000"/>
          <w:sz w:val="24"/>
        </w:rPr>
        <w:t>和</w:t>
      </w:r>
      <w:r>
        <w:rPr>
          <w:rFonts w:hint="eastAsia" w:ascii="宋体" w:hAnsi="宋体"/>
          <w:b/>
          <w:color w:val="000000"/>
          <w:sz w:val="24"/>
        </w:rPr>
        <w:t>符合性评审</w:t>
      </w:r>
      <w:r>
        <w:rPr>
          <w:rFonts w:ascii="宋体" w:hAnsi="宋体"/>
          <w:b/>
          <w:color w:val="000000"/>
          <w:sz w:val="24"/>
        </w:rPr>
        <w:t>）</w:t>
      </w:r>
    </w:p>
    <w:p>
      <w:pPr>
        <w:spacing w:line="360" w:lineRule="auto"/>
        <w:ind w:firstLine="540" w:firstLineChars="225"/>
        <w:jc w:val="left"/>
        <w:rPr>
          <w:rFonts w:ascii="宋体" w:hAnsi="宋体"/>
          <w:color w:val="000000"/>
          <w:sz w:val="24"/>
        </w:rPr>
      </w:pPr>
      <w:r>
        <w:rPr>
          <w:rFonts w:hint="eastAsia" w:ascii="宋体" w:hAnsi="宋体"/>
          <w:color w:val="000000"/>
          <w:sz w:val="24"/>
        </w:rPr>
        <w:t>3.2.1竞争性磋商小组成员要认真审阅磋商报价申请文件，对磋商报价申请文件中含义不明确、表述不一致或者有明显文字和计算错误的内容要求报价人作必要的澄清或补正。</w:t>
      </w:r>
    </w:p>
    <w:p>
      <w:pPr>
        <w:spacing w:line="360" w:lineRule="auto"/>
        <w:ind w:firstLine="540" w:firstLineChars="225"/>
        <w:jc w:val="left"/>
        <w:rPr>
          <w:rFonts w:ascii="宋体" w:hAnsi="宋体"/>
          <w:color w:val="000000"/>
          <w:sz w:val="24"/>
        </w:rPr>
      </w:pPr>
      <w:r>
        <w:rPr>
          <w:rFonts w:hint="eastAsia" w:ascii="宋体" w:hAnsi="宋体"/>
          <w:color w:val="000000"/>
          <w:sz w:val="24"/>
        </w:rPr>
        <w:t>3.2.2竞争性磋商小组发现竞争性磋商申请人以他人的名义报价、串通报价、以行贿手段谋取中标或者以其他弄虚作假方式报价的，其磋商报价申请文件将被拒绝。</w:t>
      </w:r>
    </w:p>
    <w:p>
      <w:pPr>
        <w:spacing w:line="360" w:lineRule="auto"/>
        <w:ind w:firstLine="540" w:firstLineChars="225"/>
        <w:jc w:val="left"/>
        <w:rPr>
          <w:rFonts w:ascii="宋体" w:hAnsi="宋体"/>
          <w:color w:val="000000"/>
          <w:sz w:val="24"/>
        </w:rPr>
      </w:pPr>
      <w:r>
        <w:rPr>
          <w:rFonts w:hint="eastAsia" w:ascii="宋体" w:hAnsi="宋体"/>
          <w:color w:val="000000"/>
          <w:sz w:val="24"/>
        </w:rPr>
        <w:t>3.2.3</w:t>
      </w:r>
      <w:r>
        <w:rPr>
          <w:rFonts w:hint="eastAsia" w:ascii="宋体" w:hAnsi="宋体"/>
          <w:b/>
          <w:color w:val="000000"/>
          <w:sz w:val="24"/>
        </w:rPr>
        <w:t>竞争性磋商小组审查每一磋商报价申请文件是否对采购文件提出的所有实质性要求和条件作出响应。在竞争性磋商小组与报价人进行磋商后其报价文件内容仍未能在实质上响应采购文件的，其磋商报价申请文件将被拒绝。</w:t>
      </w:r>
    </w:p>
    <w:p>
      <w:pPr>
        <w:spacing w:line="360" w:lineRule="auto"/>
        <w:ind w:firstLine="540" w:firstLineChars="225"/>
        <w:jc w:val="left"/>
        <w:rPr>
          <w:rFonts w:ascii="宋体" w:hAnsi="宋体"/>
          <w:color w:val="000000"/>
          <w:sz w:val="24"/>
        </w:rPr>
      </w:pPr>
      <w:r>
        <w:rPr>
          <w:rFonts w:hint="eastAsia" w:ascii="宋体" w:hAnsi="宋体"/>
          <w:color w:val="000000"/>
          <w:sz w:val="24"/>
        </w:rPr>
        <w:t>3.2.4磋商报价申请文件下列情形之一的，由磋商小组在资格评审中按废标处理：</w:t>
      </w:r>
    </w:p>
    <w:p>
      <w:pPr>
        <w:spacing w:line="360" w:lineRule="auto"/>
        <w:ind w:firstLine="540" w:firstLineChars="225"/>
        <w:jc w:val="left"/>
        <w:rPr>
          <w:rFonts w:ascii="宋体" w:hAnsi="宋体"/>
          <w:color w:val="000000"/>
          <w:sz w:val="24"/>
        </w:rPr>
      </w:pPr>
      <w:r>
        <w:rPr>
          <w:rFonts w:hint="eastAsia" w:ascii="宋体" w:hAnsi="宋体"/>
          <w:color w:val="000000"/>
          <w:sz w:val="24"/>
        </w:rPr>
        <w:t>（1）供应商之间的磋商报价申请文件由同一单位（或者个人）编制或者提供咨询服务的。</w:t>
      </w:r>
    </w:p>
    <w:p>
      <w:pPr>
        <w:spacing w:line="360" w:lineRule="auto"/>
        <w:ind w:firstLine="540" w:firstLineChars="225"/>
        <w:jc w:val="left"/>
        <w:rPr>
          <w:rFonts w:ascii="宋体" w:hAnsi="宋体"/>
          <w:color w:val="000000"/>
          <w:sz w:val="24"/>
        </w:rPr>
      </w:pPr>
      <w:r>
        <w:rPr>
          <w:rFonts w:hint="eastAsia" w:ascii="宋体" w:hAnsi="宋体"/>
          <w:color w:val="000000"/>
          <w:sz w:val="24"/>
        </w:rPr>
        <w:t>（2）供应商之间的磋商报价申请文件的相关资料相互混装的。</w:t>
      </w:r>
    </w:p>
    <w:p>
      <w:pPr>
        <w:spacing w:line="360" w:lineRule="auto"/>
        <w:ind w:firstLine="540" w:firstLineChars="225"/>
        <w:jc w:val="left"/>
        <w:rPr>
          <w:rFonts w:ascii="宋体" w:hAnsi="宋体"/>
          <w:color w:val="000000"/>
          <w:sz w:val="24"/>
        </w:rPr>
      </w:pPr>
      <w:r>
        <w:rPr>
          <w:rFonts w:hint="eastAsia" w:ascii="宋体" w:hAnsi="宋体"/>
          <w:color w:val="000000"/>
          <w:sz w:val="24"/>
        </w:rPr>
        <w:t>（3）供应商之间的报价保证金出自同一单位、个人或者同一银行账户的。</w:t>
      </w:r>
    </w:p>
    <w:p>
      <w:pPr>
        <w:spacing w:line="360" w:lineRule="auto"/>
        <w:ind w:firstLine="540" w:firstLineChars="225"/>
        <w:jc w:val="left"/>
        <w:rPr>
          <w:rFonts w:ascii="宋体" w:hAnsi="宋体"/>
          <w:color w:val="000000"/>
          <w:sz w:val="24"/>
        </w:rPr>
      </w:pPr>
      <w:r>
        <w:rPr>
          <w:rFonts w:hint="eastAsia" w:ascii="宋体" w:hAnsi="宋体"/>
          <w:color w:val="000000"/>
          <w:sz w:val="24"/>
        </w:rPr>
        <w:t>（4）供应商之间的</w:t>
      </w:r>
      <w:r>
        <w:rPr>
          <w:rFonts w:ascii="宋体" w:hAnsi="宋体"/>
          <w:color w:val="000000"/>
          <w:sz w:val="24"/>
        </w:rPr>
        <w:t>单位负责人为同一人或者</w:t>
      </w:r>
      <w:r>
        <w:rPr>
          <w:rFonts w:hint="eastAsia" w:ascii="宋体" w:hAnsi="宋体"/>
          <w:color w:val="000000"/>
          <w:sz w:val="24"/>
        </w:rPr>
        <w:t>供应商之间</w:t>
      </w:r>
      <w:r>
        <w:rPr>
          <w:rFonts w:ascii="宋体" w:hAnsi="宋体"/>
          <w:color w:val="000000"/>
          <w:sz w:val="24"/>
        </w:rPr>
        <w:t>存在直接控股、管理关系的</w:t>
      </w:r>
      <w:r>
        <w:rPr>
          <w:rFonts w:hint="eastAsia" w:ascii="宋体" w:hAnsi="宋体"/>
          <w:color w:val="000000"/>
          <w:sz w:val="24"/>
        </w:rPr>
        <w:t>。</w:t>
      </w:r>
    </w:p>
    <w:p>
      <w:pPr>
        <w:spacing w:line="360" w:lineRule="auto"/>
        <w:ind w:firstLine="540" w:firstLineChars="225"/>
        <w:jc w:val="left"/>
        <w:rPr>
          <w:rFonts w:ascii="宋体" w:hAnsi="宋体"/>
          <w:color w:val="000000"/>
          <w:sz w:val="24"/>
        </w:rPr>
      </w:pPr>
      <w:r>
        <w:rPr>
          <w:rFonts w:hint="eastAsia" w:ascii="宋体" w:hAnsi="宋体"/>
          <w:color w:val="000000"/>
          <w:sz w:val="24"/>
        </w:rPr>
        <w:t>（5）供应商报价超过采购控制价的。</w:t>
      </w:r>
    </w:p>
    <w:p>
      <w:pPr>
        <w:spacing w:line="360" w:lineRule="auto"/>
        <w:ind w:firstLine="540" w:firstLineChars="225"/>
        <w:jc w:val="left"/>
        <w:rPr>
          <w:rFonts w:ascii="宋体" w:hAnsi="宋体"/>
          <w:color w:val="000000"/>
          <w:sz w:val="24"/>
        </w:rPr>
      </w:pPr>
      <w:r>
        <w:rPr>
          <w:rFonts w:hint="eastAsia" w:ascii="宋体" w:hAnsi="宋体"/>
          <w:color w:val="000000"/>
          <w:sz w:val="24"/>
        </w:rPr>
        <w:t>（6）违反国家、省、市（州）相关法律法规的。</w:t>
      </w:r>
    </w:p>
    <w:p>
      <w:pPr>
        <w:spacing w:line="360" w:lineRule="auto"/>
        <w:ind w:firstLine="540" w:firstLineChars="225"/>
        <w:jc w:val="left"/>
        <w:rPr>
          <w:rFonts w:ascii="宋体" w:hAnsi="宋体"/>
          <w:color w:val="000000"/>
          <w:sz w:val="24"/>
        </w:rPr>
      </w:pPr>
      <w:r>
        <w:rPr>
          <w:rFonts w:hint="eastAsia" w:ascii="宋体" w:hAnsi="宋体"/>
          <w:color w:val="000000"/>
          <w:sz w:val="24"/>
        </w:rPr>
        <w:t>3.2.4初步评审标准</w:t>
      </w:r>
    </w:p>
    <w:tbl>
      <w:tblPr>
        <w:tblStyle w:val="42"/>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077"/>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08" w:type="dxa"/>
            <w:gridSpan w:val="2"/>
            <w:vAlign w:val="center"/>
          </w:tcPr>
          <w:p>
            <w:pPr>
              <w:jc w:val="center"/>
              <w:rPr>
                <w:sz w:val="24"/>
              </w:rPr>
            </w:pPr>
            <w:r>
              <w:rPr>
                <w:rFonts w:hint="eastAsia"/>
                <w:sz w:val="24"/>
              </w:rPr>
              <w:t>序号</w:t>
            </w:r>
          </w:p>
        </w:tc>
        <w:tc>
          <w:tcPr>
            <w:tcW w:w="7739" w:type="dxa"/>
            <w:vAlign w:val="center"/>
          </w:tcPr>
          <w:p>
            <w:pPr>
              <w:jc w:val="center"/>
              <w:rPr>
                <w:sz w:val="24"/>
              </w:rPr>
            </w:pPr>
            <w:r>
              <w:rPr>
                <w:rFonts w:hint="eastAsia"/>
                <w:sz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31" w:type="dxa"/>
            <w:vMerge w:val="restart"/>
            <w:vAlign w:val="center"/>
          </w:tcPr>
          <w:p>
            <w:pPr>
              <w:rPr>
                <w:sz w:val="24"/>
              </w:rPr>
            </w:pPr>
            <w:r>
              <w:rPr>
                <w:rFonts w:hint="eastAsia"/>
                <w:sz w:val="24"/>
              </w:rPr>
              <w:t>1</w:t>
            </w:r>
          </w:p>
        </w:tc>
        <w:tc>
          <w:tcPr>
            <w:tcW w:w="1077" w:type="dxa"/>
            <w:vMerge w:val="restart"/>
            <w:vAlign w:val="center"/>
          </w:tcPr>
          <w:p>
            <w:pPr>
              <w:rPr>
                <w:sz w:val="24"/>
              </w:rPr>
            </w:pPr>
            <w:r>
              <w:rPr>
                <w:rFonts w:hint="eastAsia"/>
                <w:sz w:val="24"/>
              </w:rPr>
              <w:t>资格性评审标准</w:t>
            </w:r>
          </w:p>
        </w:tc>
        <w:tc>
          <w:tcPr>
            <w:tcW w:w="7739" w:type="dxa"/>
            <w:vAlign w:val="center"/>
          </w:tcPr>
          <w:p>
            <w:pPr>
              <w:widowControl/>
              <w:spacing w:line="360" w:lineRule="auto"/>
              <w:jc w:val="left"/>
              <w:rPr>
                <w:rFonts w:ascii="宋体" w:hAnsi="宋体" w:cs="宋体"/>
                <w:kern w:val="0"/>
                <w:sz w:val="24"/>
              </w:rPr>
            </w:pPr>
            <w:r>
              <w:rPr>
                <w:rFonts w:hint="eastAsia" w:ascii="宋体" w:hAnsi="宋体" w:cs="宋体"/>
                <w:sz w:val="24"/>
              </w:rPr>
              <w:t>具有独立承担民事责任的能力：提供法人或者其他组织的营业执照等证明文件，自然人的身份证明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31" w:type="dxa"/>
            <w:vMerge w:val="continue"/>
            <w:vAlign w:val="center"/>
          </w:tcPr>
          <w:p>
            <w:pPr>
              <w:rPr>
                <w:sz w:val="24"/>
              </w:rPr>
            </w:pPr>
          </w:p>
        </w:tc>
        <w:tc>
          <w:tcPr>
            <w:tcW w:w="1077" w:type="dxa"/>
            <w:vMerge w:val="continue"/>
            <w:vAlign w:val="center"/>
          </w:tcPr>
          <w:p>
            <w:pPr>
              <w:rPr>
                <w:sz w:val="24"/>
              </w:rPr>
            </w:pPr>
          </w:p>
        </w:tc>
        <w:tc>
          <w:tcPr>
            <w:tcW w:w="7739" w:type="dxa"/>
            <w:vAlign w:val="center"/>
          </w:tcPr>
          <w:p>
            <w:pPr>
              <w:widowControl/>
              <w:spacing w:line="360" w:lineRule="auto"/>
              <w:jc w:val="left"/>
              <w:rPr>
                <w:rFonts w:ascii="宋体" w:hAnsi="宋体" w:cs="宋体"/>
                <w:kern w:val="0"/>
                <w:sz w:val="24"/>
              </w:rPr>
            </w:pPr>
            <w:r>
              <w:rPr>
                <w:rFonts w:hint="eastAsia" w:ascii="宋体" w:hAnsi="宋体" w:cs="宋体"/>
                <w:sz w:val="24"/>
              </w:rPr>
              <w:t>具有良好的商业信誉和健全的财务会计制度：提供202</w:t>
            </w:r>
            <w:r>
              <w:rPr>
                <w:rFonts w:hint="eastAsia" w:ascii="宋体" w:hAnsi="宋体" w:cs="宋体"/>
                <w:sz w:val="24"/>
                <w:lang w:val="en-US" w:eastAsia="zh-CN"/>
              </w:rPr>
              <w:t>2</w:t>
            </w:r>
            <w:r>
              <w:rPr>
                <w:rFonts w:hint="eastAsia" w:ascii="宋体" w:hAnsi="宋体" w:cs="宋体"/>
                <w:sz w:val="24"/>
              </w:rPr>
              <w:t>年财务报表表（如供应商为新成立的公司，只需提供公司成立起至今的财务报表，其他组织和自然人，没有财务报表，可以提供银行出具的资信证明）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31" w:type="dxa"/>
            <w:vMerge w:val="continue"/>
            <w:vAlign w:val="center"/>
          </w:tcPr>
          <w:p>
            <w:pPr>
              <w:rPr>
                <w:sz w:val="24"/>
              </w:rPr>
            </w:pPr>
          </w:p>
        </w:tc>
        <w:tc>
          <w:tcPr>
            <w:tcW w:w="1077" w:type="dxa"/>
            <w:vMerge w:val="continue"/>
            <w:vAlign w:val="center"/>
          </w:tcPr>
          <w:p>
            <w:pPr>
              <w:rPr>
                <w:sz w:val="24"/>
              </w:rPr>
            </w:pPr>
          </w:p>
        </w:tc>
        <w:tc>
          <w:tcPr>
            <w:tcW w:w="7739" w:type="dxa"/>
            <w:vAlign w:val="center"/>
          </w:tcPr>
          <w:p>
            <w:pPr>
              <w:widowControl/>
              <w:spacing w:line="360" w:lineRule="auto"/>
              <w:jc w:val="left"/>
              <w:rPr>
                <w:rFonts w:ascii="宋体" w:hAnsi="宋体" w:cs="宋体"/>
                <w:kern w:val="0"/>
                <w:sz w:val="24"/>
              </w:rPr>
            </w:pPr>
            <w:r>
              <w:rPr>
                <w:rFonts w:hint="eastAsia" w:ascii="宋体" w:hAnsi="宋体" w:cs="宋体"/>
                <w:sz w:val="24"/>
              </w:rPr>
              <w:t>具有履行合同所必需的设备和专业技术能力：提供书面声明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31" w:type="dxa"/>
            <w:vMerge w:val="continue"/>
            <w:vAlign w:val="center"/>
          </w:tcPr>
          <w:p>
            <w:pPr>
              <w:rPr>
                <w:sz w:val="24"/>
              </w:rPr>
            </w:pPr>
          </w:p>
        </w:tc>
        <w:tc>
          <w:tcPr>
            <w:tcW w:w="1077" w:type="dxa"/>
            <w:vMerge w:val="continue"/>
            <w:vAlign w:val="center"/>
          </w:tcPr>
          <w:p>
            <w:pPr>
              <w:rPr>
                <w:sz w:val="24"/>
              </w:rPr>
            </w:pPr>
          </w:p>
        </w:tc>
        <w:tc>
          <w:tcPr>
            <w:tcW w:w="7739" w:type="dxa"/>
            <w:vAlign w:val="center"/>
          </w:tcPr>
          <w:p>
            <w:pPr>
              <w:widowControl/>
              <w:spacing w:line="360" w:lineRule="auto"/>
              <w:jc w:val="left"/>
              <w:rPr>
                <w:rFonts w:ascii="宋体" w:hAnsi="宋体" w:cs="宋体"/>
                <w:kern w:val="0"/>
                <w:sz w:val="24"/>
              </w:rPr>
            </w:pPr>
            <w:r>
              <w:rPr>
                <w:rFonts w:hint="eastAsia" w:ascii="宋体" w:hAnsi="宋体" w:cs="宋体"/>
                <w:sz w:val="24"/>
              </w:rPr>
              <w:t>有依法缴纳税收的良好记录：提供2022年1月至今任意1个月的缴纳税收资金证明材料（如供应商属于免税或免缴纳社会保障资金的情况应提供相关证明材料）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31" w:type="dxa"/>
            <w:vMerge w:val="continue"/>
            <w:vAlign w:val="center"/>
          </w:tcPr>
          <w:p>
            <w:pPr>
              <w:rPr>
                <w:sz w:val="24"/>
              </w:rPr>
            </w:pPr>
          </w:p>
        </w:tc>
        <w:tc>
          <w:tcPr>
            <w:tcW w:w="1077" w:type="dxa"/>
            <w:vMerge w:val="continue"/>
            <w:vAlign w:val="center"/>
          </w:tcPr>
          <w:p>
            <w:pPr>
              <w:rPr>
                <w:sz w:val="24"/>
              </w:rPr>
            </w:pPr>
          </w:p>
        </w:tc>
        <w:tc>
          <w:tcPr>
            <w:tcW w:w="7739" w:type="dxa"/>
            <w:vAlign w:val="center"/>
          </w:tcPr>
          <w:p>
            <w:pPr>
              <w:widowControl/>
              <w:spacing w:line="360" w:lineRule="auto"/>
              <w:jc w:val="left"/>
              <w:rPr>
                <w:rFonts w:ascii="宋体" w:hAnsi="宋体" w:cs="宋体"/>
                <w:kern w:val="0"/>
                <w:sz w:val="24"/>
              </w:rPr>
            </w:pPr>
            <w:r>
              <w:rPr>
                <w:rFonts w:hint="eastAsia" w:ascii="宋体" w:hAnsi="宋体" w:cs="宋体"/>
                <w:sz w:val="24"/>
              </w:rPr>
              <w:t>参加政府采购活动前三年内，在经营活动中没有重大违法记录：提供书面声明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31" w:type="dxa"/>
            <w:vMerge w:val="continue"/>
            <w:vAlign w:val="center"/>
          </w:tcPr>
          <w:p>
            <w:pPr>
              <w:rPr>
                <w:sz w:val="24"/>
              </w:rPr>
            </w:pPr>
          </w:p>
        </w:tc>
        <w:tc>
          <w:tcPr>
            <w:tcW w:w="1077" w:type="dxa"/>
            <w:vMerge w:val="continue"/>
            <w:vAlign w:val="center"/>
          </w:tcPr>
          <w:p>
            <w:pPr>
              <w:rPr>
                <w:sz w:val="24"/>
              </w:rPr>
            </w:pPr>
          </w:p>
        </w:tc>
        <w:tc>
          <w:tcPr>
            <w:tcW w:w="7739"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磋商保证金汇款凭证复印件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31" w:type="dxa"/>
            <w:vMerge w:val="continue"/>
            <w:vAlign w:val="center"/>
          </w:tcPr>
          <w:p>
            <w:pPr>
              <w:rPr>
                <w:sz w:val="24"/>
              </w:rPr>
            </w:pPr>
          </w:p>
        </w:tc>
        <w:tc>
          <w:tcPr>
            <w:tcW w:w="1077" w:type="dxa"/>
            <w:vMerge w:val="continue"/>
            <w:vAlign w:val="center"/>
          </w:tcPr>
          <w:p>
            <w:pPr>
              <w:rPr>
                <w:sz w:val="24"/>
              </w:rPr>
            </w:pPr>
          </w:p>
        </w:tc>
        <w:tc>
          <w:tcPr>
            <w:tcW w:w="7739" w:type="dxa"/>
            <w:vAlign w:val="center"/>
          </w:tcPr>
          <w:p>
            <w:pPr>
              <w:widowControl/>
              <w:spacing w:line="360" w:lineRule="auto"/>
              <w:jc w:val="left"/>
              <w:rPr>
                <w:rFonts w:ascii="宋体" w:hAnsi="宋体" w:cs="宋体"/>
                <w:kern w:val="0"/>
                <w:sz w:val="24"/>
              </w:rPr>
            </w:pPr>
            <w:r>
              <w:rPr>
                <w:rStyle w:val="49"/>
                <w:rFonts w:hint="eastAsia" w:ascii="宋体" w:hAnsi="宋体" w:cs="宋体"/>
              </w:rPr>
              <w:t>供应商必须具有公安部第三研究所认证发放的《网络安全等级测评与检测评估机构服务认证证书》，异地测评机构应提供权威机构颁发的《等级测评机构异地测评项目备案表》。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Merge w:val="restart"/>
            <w:vAlign w:val="center"/>
          </w:tcPr>
          <w:p>
            <w:pPr>
              <w:rPr>
                <w:sz w:val="24"/>
              </w:rPr>
            </w:pPr>
            <w:r>
              <w:rPr>
                <w:rFonts w:hint="eastAsia"/>
                <w:sz w:val="24"/>
              </w:rPr>
              <w:t>2</w:t>
            </w:r>
          </w:p>
        </w:tc>
        <w:tc>
          <w:tcPr>
            <w:tcW w:w="1077" w:type="dxa"/>
            <w:vMerge w:val="restart"/>
            <w:vAlign w:val="center"/>
          </w:tcPr>
          <w:p>
            <w:pPr>
              <w:rPr>
                <w:sz w:val="24"/>
              </w:rPr>
            </w:pPr>
            <w:r>
              <w:rPr>
                <w:rFonts w:hint="eastAsia"/>
                <w:sz w:val="24"/>
              </w:rPr>
              <w:t>符合性审标准</w:t>
            </w:r>
          </w:p>
        </w:tc>
        <w:tc>
          <w:tcPr>
            <w:tcW w:w="7739" w:type="dxa"/>
            <w:vAlign w:val="center"/>
          </w:tcPr>
          <w:p>
            <w:pPr>
              <w:rPr>
                <w:sz w:val="24"/>
              </w:rPr>
            </w:pPr>
            <w:r>
              <w:rPr>
                <w:rFonts w:hint="eastAsia"/>
                <w:sz w:val="24"/>
              </w:rPr>
              <w:t>是否按照磋商文件要求签字盖章。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1" w:type="dxa"/>
            <w:vMerge w:val="continue"/>
            <w:vAlign w:val="center"/>
          </w:tcPr>
          <w:p>
            <w:pPr>
              <w:rPr>
                <w:sz w:val="24"/>
              </w:rPr>
            </w:pPr>
          </w:p>
        </w:tc>
        <w:tc>
          <w:tcPr>
            <w:tcW w:w="1077" w:type="dxa"/>
            <w:vMerge w:val="continue"/>
            <w:vAlign w:val="center"/>
          </w:tcPr>
          <w:p>
            <w:pPr>
              <w:rPr>
                <w:sz w:val="24"/>
              </w:rPr>
            </w:pPr>
          </w:p>
        </w:tc>
        <w:tc>
          <w:tcPr>
            <w:tcW w:w="7739" w:type="dxa"/>
            <w:vAlign w:val="center"/>
          </w:tcPr>
          <w:p>
            <w:pPr>
              <w:rPr>
                <w:sz w:val="24"/>
              </w:rPr>
            </w:pPr>
            <w:r>
              <w:rPr>
                <w:rFonts w:hint="eastAsia"/>
                <w:sz w:val="24"/>
              </w:rPr>
              <w:t>是否按照磋商文件要求完整报价。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Merge w:val="continue"/>
            <w:vAlign w:val="center"/>
          </w:tcPr>
          <w:p>
            <w:pPr>
              <w:rPr>
                <w:sz w:val="24"/>
              </w:rPr>
            </w:pPr>
          </w:p>
        </w:tc>
        <w:tc>
          <w:tcPr>
            <w:tcW w:w="1077" w:type="dxa"/>
            <w:vMerge w:val="continue"/>
            <w:vAlign w:val="center"/>
          </w:tcPr>
          <w:p>
            <w:pPr>
              <w:rPr>
                <w:sz w:val="24"/>
              </w:rPr>
            </w:pPr>
          </w:p>
        </w:tc>
        <w:tc>
          <w:tcPr>
            <w:tcW w:w="7739" w:type="dxa"/>
            <w:vAlign w:val="center"/>
          </w:tcPr>
          <w:p>
            <w:pPr>
              <w:rPr>
                <w:sz w:val="24"/>
              </w:rPr>
            </w:pPr>
            <w:r>
              <w:rPr>
                <w:rFonts w:hint="eastAsia"/>
                <w:sz w:val="24"/>
              </w:rPr>
              <w:t>是否按照磋商文件规定格式制作响应文件。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Merge w:val="continue"/>
            <w:vAlign w:val="center"/>
          </w:tcPr>
          <w:p>
            <w:pPr>
              <w:rPr>
                <w:sz w:val="24"/>
              </w:rPr>
            </w:pPr>
          </w:p>
        </w:tc>
        <w:tc>
          <w:tcPr>
            <w:tcW w:w="1077" w:type="dxa"/>
            <w:vMerge w:val="continue"/>
            <w:vAlign w:val="center"/>
          </w:tcPr>
          <w:p>
            <w:pPr>
              <w:rPr>
                <w:sz w:val="24"/>
              </w:rPr>
            </w:pPr>
          </w:p>
        </w:tc>
        <w:tc>
          <w:tcPr>
            <w:tcW w:w="7739" w:type="dxa"/>
            <w:vAlign w:val="center"/>
          </w:tcPr>
          <w:p>
            <w:pPr>
              <w:rPr>
                <w:sz w:val="24"/>
              </w:rPr>
            </w:pPr>
            <w:r>
              <w:rPr>
                <w:rFonts w:hint="eastAsia"/>
                <w:sz w:val="24"/>
              </w:rPr>
              <w:t>投标报价是否超过采购预算价。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Merge w:val="continue"/>
            <w:vAlign w:val="center"/>
          </w:tcPr>
          <w:p>
            <w:pPr>
              <w:rPr>
                <w:sz w:val="24"/>
              </w:rPr>
            </w:pPr>
          </w:p>
        </w:tc>
        <w:tc>
          <w:tcPr>
            <w:tcW w:w="1077" w:type="dxa"/>
            <w:vMerge w:val="continue"/>
            <w:vAlign w:val="center"/>
          </w:tcPr>
          <w:p>
            <w:pPr>
              <w:rPr>
                <w:sz w:val="24"/>
              </w:rPr>
            </w:pPr>
          </w:p>
        </w:tc>
        <w:tc>
          <w:tcPr>
            <w:tcW w:w="7739" w:type="dxa"/>
            <w:vAlign w:val="center"/>
          </w:tcPr>
          <w:p>
            <w:pPr>
              <w:rPr>
                <w:sz w:val="24"/>
              </w:rPr>
            </w:pPr>
            <w:r>
              <w:rPr>
                <w:rFonts w:hint="eastAsia"/>
                <w:sz w:val="24"/>
              </w:rPr>
              <w:t>是否对磋商文件做出实质性响应。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Merge w:val="continue"/>
            <w:vAlign w:val="center"/>
          </w:tcPr>
          <w:p>
            <w:pPr>
              <w:rPr>
                <w:sz w:val="24"/>
              </w:rPr>
            </w:pPr>
          </w:p>
        </w:tc>
        <w:tc>
          <w:tcPr>
            <w:tcW w:w="1077" w:type="dxa"/>
            <w:vMerge w:val="continue"/>
            <w:vAlign w:val="center"/>
          </w:tcPr>
          <w:p>
            <w:pPr>
              <w:rPr>
                <w:sz w:val="24"/>
              </w:rPr>
            </w:pPr>
          </w:p>
        </w:tc>
        <w:tc>
          <w:tcPr>
            <w:tcW w:w="7739" w:type="dxa"/>
            <w:vAlign w:val="center"/>
          </w:tcPr>
          <w:p>
            <w:pPr>
              <w:rPr>
                <w:sz w:val="24"/>
              </w:rPr>
            </w:pPr>
            <w:r>
              <w:rPr>
                <w:rFonts w:hint="eastAsia"/>
                <w:sz w:val="24"/>
              </w:rPr>
              <w:t>是否存在其他无效标情形。</w:t>
            </w:r>
          </w:p>
        </w:tc>
      </w:tr>
    </w:tbl>
    <w:p>
      <w:pPr>
        <w:spacing w:line="360" w:lineRule="auto"/>
        <w:ind w:firstLine="542" w:firstLineChars="225"/>
        <w:jc w:val="left"/>
        <w:rPr>
          <w:rFonts w:ascii="宋体" w:hAnsi="宋体"/>
          <w:b/>
          <w:color w:val="000000"/>
          <w:sz w:val="24"/>
        </w:rPr>
      </w:pPr>
      <w:r>
        <w:rPr>
          <w:rFonts w:hint="eastAsia" w:ascii="宋体" w:hAnsi="宋体"/>
          <w:b/>
          <w:color w:val="000000"/>
          <w:sz w:val="24"/>
        </w:rPr>
        <w:t>3.3竞争性报价磋商及评价推荐</w:t>
      </w:r>
      <w:bookmarkStart w:id="85" w:name="_Toc244087771"/>
      <w:r>
        <w:rPr>
          <w:rFonts w:hint="eastAsia" w:ascii="宋体" w:hAnsi="宋体"/>
          <w:b/>
          <w:color w:val="000000"/>
          <w:sz w:val="24"/>
        </w:rPr>
        <w:t>标准</w:t>
      </w:r>
    </w:p>
    <w:p>
      <w:pPr>
        <w:spacing w:line="500" w:lineRule="exact"/>
        <w:ind w:firstLine="475" w:firstLineChars="198"/>
        <w:rPr>
          <w:rFonts w:ascii="宋体" w:hAnsi="宋体"/>
          <w:bCs/>
          <w:color w:val="FF6600"/>
          <w:sz w:val="24"/>
        </w:rPr>
      </w:pPr>
      <w:r>
        <w:rPr>
          <w:rFonts w:hint="eastAsia" w:ascii="宋体" w:hAnsi="宋体"/>
          <w:bCs/>
          <w:color w:val="000000"/>
          <w:sz w:val="24"/>
        </w:rPr>
        <w:t>3.3.1竞争性磋商小组对通过资格性评审、符合性评审的报价申请文件进行</w:t>
      </w:r>
      <w:r>
        <w:rPr>
          <w:rFonts w:hint="eastAsia" w:ascii="宋体" w:hAnsi="宋体"/>
          <w:bCs/>
          <w:sz w:val="24"/>
        </w:rPr>
        <w:t>磋商及评审，磋商内容为各磋商报价申请人的最终报价、服务承诺、资金支付要求等。竞争性磋商小组所有成员集中与单一磋商报价申请人分别进行磋商报价,并要求报价申请人进行二次限时报价（二次报价为最终报价）。</w:t>
      </w:r>
    </w:p>
    <w:p>
      <w:pPr>
        <w:spacing w:line="500" w:lineRule="exact"/>
        <w:ind w:firstLine="475" w:firstLineChars="198"/>
        <w:rPr>
          <w:rFonts w:ascii="宋体" w:hAnsi="宋体"/>
          <w:bCs/>
          <w:color w:val="000000"/>
          <w:sz w:val="24"/>
        </w:rPr>
      </w:pPr>
      <w:r>
        <w:rPr>
          <w:rFonts w:hint="eastAsia" w:ascii="宋体" w:hAnsi="宋体"/>
          <w:bCs/>
          <w:color w:val="000000"/>
          <w:sz w:val="24"/>
        </w:rPr>
        <w:t>3.3.2经磋商及报价确定最终采购需求和提交最后报价的供应商后，由磋商小组采用综合评分法对提交最后报价的供应商的响应文件和最后报价进行综合评分。</w:t>
      </w:r>
      <w:r>
        <w:rPr>
          <w:rFonts w:hint="eastAsia" w:ascii="宋体" w:hAnsi="宋体"/>
          <w:color w:val="000000"/>
          <w:sz w:val="24"/>
        </w:rPr>
        <w:t>磋商小组成员应当按照评分办法的规定，独立评分并署名。</w:t>
      </w:r>
      <w:r>
        <w:rPr>
          <w:rFonts w:hint="eastAsia" w:ascii="宋体" w:hAnsi="宋体"/>
          <w:sz w:val="24"/>
        </w:rPr>
        <w:t>所有评委打分值的算术平均值即为供应商的最终得分。</w:t>
      </w:r>
    </w:p>
    <w:p>
      <w:pPr>
        <w:spacing w:line="360" w:lineRule="auto"/>
        <w:ind w:firstLine="720" w:firstLineChars="300"/>
        <w:jc w:val="left"/>
        <w:rPr>
          <w:rFonts w:ascii="宋体" w:hAnsi="宋体"/>
          <w:sz w:val="24"/>
        </w:rPr>
      </w:pPr>
      <w:r>
        <w:rPr>
          <w:rFonts w:hint="eastAsia" w:ascii="宋体" w:hAnsi="宋体"/>
          <w:color w:val="000000"/>
          <w:sz w:val="24"/>
        </w:rPr>
        <w:t>3.3.3</w:t>
      </w:r>
      <w:r>
        <w:rPr>
          <w:rFonts w:hint="eastAsia" w:ascii="宋体" w:hAnsi="宋体"/>
          <w:bCs/>
          <w:color w:val="000000"/>
          <w:sz w:val="24"/>
        </w:rPr>
        <w:t xml:space="preserve"> </w:t>
      </w:r>
      <w:r>
        <w:rPr>
          <w:rFonts w:hint="eastAsia" w:ascii="宋体" w:hAnsi="宋体"/>
          <w:sz w:val="24"/>
        </w:rPr>
        <w:t xml:space="preserve">磋商小组将按以下评分标准计算出各供应商的综合得分；综合分相同的，按最终报价由低到高顺序排列；得分且最终总报价相同的，按技术指标得分由高到低顺序排列。    </w:t>
      </w:r>
    </w:p>
    <w:p>
      <w:pPr>
        <w:autoSpaceDE w:val="0"/>
        <w:autoSpaceDN w:val="0"/>
        <w:adjustRightInd w:val="0"/>
        <w:spacing w:line="360" w:lineRule="auto"/>
        <w:ind w:right="119" w:firstLine="480" w:firstLineChars="200"/>
        <w:rPr>
          <w:rFonts w:hint="eastAsia" w:ascii="宋体" w:hAnsi="宋体"/>
          <w:b/>
          <w:color w:val="000000"/>
          <w:sz w:val="24"/>
          <w:highlight w:val="yellow"/>
        </w:rPr>
      </w:pPr>
      <w:r>
        <w:rPr>
          <w:rFonts w:hint="eastAsia" w:ascii="宋体" w:hAnsi="宋体"/>
          <w:color w:val="000000"/>
          <w:sz w:val="24"/>
        </w:rPr>
        <w:t>3.3.4</w:t>
      </w:r>
      <w:r>
        <w:rPr>
          <w:rFonts w:hint="eastAsia" w:ascii="宋体" w:hAnsi="宋体"/>
          <w:sz w:val="24"/>
        </w:rPr>
        <w:t xml:space="preserve"> 综合评分明细表</w:t>
      </w:r>
    </w:p>
    <w:tbl>
      <w:tblPr>
        <w:tblStyle w:val="42"/>
        <w:tblW w:w="8805" w:type="dxa"/>
        <w:jc w:val="center"/>
        <w:tblLayout w:type="fixed"/>
        <w:tblCellMar>
          <w:top w:w="0" w:type="dxa"/>
          <w:left w:w="108" w:type="dxa"/>
          <w:bottom w:w="0" w:type="dxa"/>
          <w:right w:w="108" w:type="dxa"/>
        </w:tblCellMar>
      </w:tblPr>
      <w:tblGrid>
        <w:gridCol w:w="630"/>
        <w:gridCol w:w="1851"/>
        <w:gridCol w:w="6324"/>
      </w:tblGrid>
      <w:tr>
        <w:tblPrEx>
          <w:tblCellMar>
            <w:top w:w="0" w:type="dxa"/>
            <w:left w:w="108" w:type="dxa"/>
            <w:bottom w:w="0" w:type="dxa"/>
            <w:right w:w="108" w:type="dxa"/>
          </w:tblCellMar>
        </w:tblPrEx>
        <w:trPr>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sz w:val="24"/>
              </w:rPr>
            </w:pPr>
            <w:r>
              <w:rPr>
                <w:rFonts w:hint="eastAsia" w:ascii="宋体" w:hAnsi="宋体" w:cs="宋体"/>
                <w:bCs/>
                <w:sz w:val="24"/>
              </w:rPr>
              <w:t>序号</w:t>
            </w:r>
          </w:p>
        </w:tc>
        <w:tc>
          <w:tcPr>
            <w:tcW w:w="1851" w:type="dxa"/>
            <w:tcBorders>
              <w:top w:val="single" w:color="000000" w:sz="4" w:space="0"/>
              <w:left w:val="nil"/>
              <w:bottom w:val="single" w:color="000000" w:sz="4" w:space="0"/>
              <w:right w:val="single" w:color="000000" w:sz="4" w:space="0"/>
            </w:tcBorders>
            <w:vAlign w:val="center"/>
          </w:tcPr>
          <w:p>
            <w:pPr>
              <w:jc w:val="center"/>
              <w:rPr>
                <w:rFonts w:ascii="宋体" w:hAnsi="宋体" w:cs="宋体"/>
                <w:bCs/>
                <w:sz w:val="24"/>
              </w:rPr>
            </w:pPr>
            <w:r>
              <w:rPr>
                <w:rFonts w:hint="eastAsia" w:ascii="宋体" w:hAnsi="宋体" w:cs="宋体"/>
                <w:bCs/>
                <w:sz w:val="24"/>
              </w:rPr>
              <w:t>评审项目</w:t>
            </w:r>
          </w:p>
        </w:tc>
        <w:tc>
          <w:tcPr>
            <w:tcW w:w="6324" w:type="dxa"/>
            <w:tcBorders>
              <w:top w:val="single" w:color="000000" w:sz="4" w:space="0"/>
              <w:left w:val="nil"/>
              <w:bottom w:val="single" w:color="000000" w:sz="4" w:space="0"/>
              <w:right w:val="single" w:color="000000" w:sz="4" w:space="0"/>
            </w:tcBorders>
            <w:vAlign w:val="center"/>
          </w:tcPr>
          <w:p>
            <w:pPr>
              <w:jc w:val="center"/>
              <w:rPr>
                <w:rFonts w:ascii="宋体" w:hAnsi="宋体" w:cs="宋体"/>
                <w:bCs/>
                <w:sz w:val="24"/>
              </w:rPr>
            </w:pPr>
            <w:r>
              <w:rPr>
                <w:rFonts w:hint="eastAsia" w:ascii="宋体" w:hAnsi="宋体" w:cs="宋体"/>
                <w:bCs/>
                <w:sz w:val="24"/>
              </w:rPr>
              <w:t>评分标准</w:t>
            </w:r>
          </w:p>
        </w:tc>
      </w:tr>
      <w:tr>
        <w:tblPrEx>
          <w:tblCellMar>
            <w:top w:w="0" w:type="dxa"/>
            <w:left w:w="108" w:type="dxa"/>
            <w:bottom w:w="0" w:type="dxa"/>
            <w:right w:w="108" w:type="dxa"/>
          </w:tblCellMar>
        </w:tblPrEx>
        <w:trPr>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w:t>
            </w:r>
          </w:p>
        </w:tc>
        <w:tc>
          <w:tcPr>
            <w:tcW w:w="1851" w:type="dxa"/>
            <w:tcBorders>
              <w:top w:val="single" w:color="000000" w:sz="4" w:space="0"/>
              <w:left w:val="nil"/>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投标报价</w:t>
            </w:r>
          </w:p>
          <w:p>
            <w:pPr>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20</w:t>
            </w:r>
            <w:r>
              <w:rPr>
                <w:rFonts w:hint="eastAsia" w:ascii="宋体" w:hAnsi="宋体" w:cs="宋体"/>
                <w:sz w:val="24"/>
              </w:rPr>
              <w:t>分）</w:t>
            </w:r>
          </w:p>
        </w:tc>
        <w:tc>
          <w:tcPr>
            <w:tcW w:w="6324" w:type="dxa"/>
            <w:tcBorders>
              <w:top w:val="single" w:color="000000" w:sz="4" w:space="0"/>
              <w:left w:val="nil"/>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满足磋商文件要求且投标报价最低的为评标基准价，其价格分为满分（</w:t>
            </w:r>
            <w:r>
              <w:rPr>
                <w:rFonts w:hint="eastAsia" w:ascii="宋体" w:hAnsi="宋体" w:cs="宋体"/>
                <w:sz w:val="24"/>
                <w:lang w:val="en-US" w:eastAsia="zh-CN"/>
              </w:rPr>
              <w:t>2</w:t>
            </w:r>
            <w:r>
              <w:rPr>
                <w:rFonts w:hint="eastAsia" w:ascii="宋体" w:hAnsi="宋体" w:cs="宋体"/>
                <w:sz w:val="24"/>
              </w:rPr>
              <w:t>0分）。其他供应商的价格分统一按照下列公示计算：</w:t>
            </w:r>
          </w:p>
          <w:p>
            <w:pPr>
              <w:rPr>
                <w:rFonts w:ascii="宋体" w:hAnsi="宋体" w:cs="宋体"/>
                <w:sz w:val="24"/>
              </w:rPr>
            </w:pPr>
            <w:r>
              <w:rPr>
                <w:rFonts w:hint="eastAsia" w:ascii="宋体" w:hAnsi="宋体" w:cs="宋体"/>
                <w:sz w:val="24"/>
              </w:rPr>
              <w:t>投标报价得分=（评标基准价/投标报价）</w:t>
            </w: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sz w:val="24"/>
              </w:rPr>
              <w:t>0</w:t>
            </w:r>
          </w:p>
          <w:p>
            <w:pPr>
              <w:rPr>
                <w:rFonts w:ascii="宋体" w:hAnsi="宋体" w:cs="宋体"/>
                <w:sz w:val="24"/>
              </w:rPr>
            </w:pPr>
            <w:r>
              <w:rPr>
                <w:rFonts w:hint="eastAsia" w:ascii="宋体" w:hAnsi="宋体" w:cs="宋体"/>
                <w:sz w:val="24"/>
              </w:rPr>
              <w:t>注：全部货物生产厂家如为小微企业在评审时给予10 %的价格扣除优惠。</w:t>
            </w:r>
          </w:p>
        </w:tc>
      </w:tr>
      <w:tr>
        <w:tblPrEx>
          <w:tblCellMar>
            <w:top w:w="0" w:type="dxa"/>
            <w:left w:w="108" w:type="dxa"/>
            <w:bottom w:w="0" w:type="dxa"/>
            <w:right w:w="108" w:type="dxa"/>
          </w:tblCellMar>
        </w:tblPrEx>
        <w:trPr>
          <w:trHeight w:val="90" w:hRule="atLeast"/>
          <w:jc w:val="center"/>
        </w:trPr>
        <w:tc>
          <w:tcPr>
            <w:tcW w:w="63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2</w:t>
            </w:r>
          </w:p>
        </w:tc>
        <w:tc>
          <w:tcPr>
            <w:tcW w:w="1851" w:type="dxa"/>
            <w:tcBorders>
              <w:top w:val="single" w:color="000000" w:sz="4" w:space="0"/>
              <w:left w:val="nil"/>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采购需求的</w:t>
            </w:r>
          </w:p>
          <w:p>
            <w:pPr>
              <w:jc w:val="center"/>
              <w:rPr>
                <w:rFonts w:ascii="宋体" w:hAnsi="宋体" w:cs="宋体"/>
                <w:sz w:val="24"/>
              </w:rPr>
            </w:pPr>
            <w:r>
              <w:rPr>
                <w:rFonts w:hint="eastAsia" w:ascii="宋体" w:hAnsi="宋体" w:cs="宋体"/>
                <w:sz w:val="24"/>
              </w:rPr>
              <w:t>满足性</w:t>
            </w:r>
          </w:p>
          <w:p>
            <w:pPr>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20</w:t>
            </w:r>
            <w:r>
              <w:rPr>
                <w:rFonts w:hint="eastAsia" w:ascii="宋体" w:hAnsi="宋体" w:cs="宋体"/>
                <w:sz w:val="24"/>
              </w:rPr>
              <w:t>分）</w:t>
            </w:r>
          </w:p>
        </w:tc>
        <w:tc>
          <w:tcPr>
            <w:tcW w:w="6324" w:type="dxa"/>
            <w:tcBorders>
              <w:top w:val="single" w:color="000000" w:sz="4" w:space="0"/>
              <w:left w:val="nil"/>
              <w:bottom w:val="single" w:color="auto" w:sz="4" w:space="0"/>
              <w:right w:val="single" w:color="000000" w:sz="4" w:space="0"/>
            </w:tcBorders>
            <w:vAlign w:val="center"/>
          </w:tcPr>
          <w:p>
            <w:pPr>
              <w:spacing w:line="360" w:lineRule="exact"/>
              <w:rPr>
                <w:rFonts w:ascii="宋体" w:hAnsi="宋体" w:cs="宋体"/>
                <w:sz w:val="24"/>
              </w:rPr>
            </w:pPr>
            <w:r>
              <w:rPr>
                <w:rFonts w:hint="eastAsia" w:ascii="宋体" w:hAnsi="宋体" w:cs="宋体"/>
                <w:sz w:val="24"/>
              </w:rPr>
              <w:t>投标产品完全满足磋商文件采购需求得满分</w:t>
            </w:r>
            <w:r>
              <w:rPr>
                <w:rFonts w:hint="eastAsia" w:ascii="宋体" w:hAnsi="宋体" w:cs="宋体"/>
                <w:sz w:val="24"/>
                <w:lang w:val="en-US" w:eastAsia="zh-CN"/>
              </w:rPr>
              <w:t>20</w:t>
            </w:r>
            <w:r>
              <w:rPr>
                <w:rFonts w:hint="eastAsia" w:ascii="宋体" w:hAnsi="宋体" w:cs="宋体"/>
                <w:sz w:val="24"/>
              </w:rPr>
              <w:t>分，每出现一个负偏离扣</w:t>
            </w:r>
            <w:r>
              <w:rPr>
                <w:rFonts w:hint="eastAsia" w:ascii="宋体" w:hAnsi="宋体" w:cs="宋体"/>
                <w:sz w:val="24"/>
                <w:lang w:val="en-US" w:eastAsia="zh-CN"/>
              </w:rPr>
              <w:t>4</w:t>
            </w:r>
            <w:r>
              <w:rPr>
                <w:rFonts w:hint="eastAsia" w:ascii="宋体" w:hAnsi="宋体" w:cs="宋体"/>
                <w:sz w:val="24"/>
              </w:rPr>
              <w:t>分，分值扣完为止。</w:t>
            </w:r>
          </w:p>
        </w:tc>
      </w:tr>
      <w:tr>
        <w:tblPrEx>
          <w:tblCellMar>
            <w:top w:w="0" w:type="dxa"/>
            <w:left w:w="108" w:type="dxa"/>
            <w:bottom w:w="0" w:type="dxa"/>
            <w:right w:w="108" w:type="dxa"/>
          </w:tblCellMar>
        </w:tblPrEx>
        <w:trPr>
          <w:trHeight w:val="2533" w:hRule="atLeast"/>
          <w:jc w:val="center"/>
        </w:trPr>
        <w:tc>
          <w:tcPr>
            <w:tcW w:w="63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3</w:t>
            </w:r>
          </w:p>
        </w:tc>
        <w:tc>
          <w:tcPr>
            <w:tcW w:w="1851" w:type="dxa"/>
            <w:tcBorders>
              <w:top w:val="single" w:color="000000" w:sz="4" w:space="0"/>
              <w:left w:val="nil"/>
              <w:bottom w:val="single" w:color="auto" w:sz="4" w:space="0"/>
              <w:right w:val="single" w:color="000000" w:sz="4" w:space="0"/>
            </w:tcBorders>
            <w:vAlign w:val="center"/>
          </w:tcPr>
          <w:p>
            <w:pPr>
              <w:widowControl/>
              <w:jc w:val="center"/>
              <w:rPr>
                <w:rFonts w:ascii="宋体" w:hAnsi="宋体" w:cs="宋体"/>
                <w:bCs/>
                <w:kern w:val="0"/>
                <w:sz w:val="24"/>
              </w:rPr>
            </w:pPr>
          </w:p>
          <w:p>
            <w:pPr>
              <w:widowControl/>
              <w:jc w:val="center"/>
              <w:rPr>
                <w:rFonts w:ascii="宋体" w:hAnsi="宋体" w:cs="宋体"/>
                <w:bCs/>
                <w:kern w:val="0"/>
                <w:sz w:val="24"/>
              </w:rPr>
            </w:pPr>
            <w:r>
              <w:rPr>
                <w:rFonts w:hint="eastAsia" w:ascii="宋体" w:hAnsi="宋体" w:cs="宋体"/>
                <w:bCs/>
                <w:kern w:val="0"/>
                <w:sz w:val="24"/>
              </w:rPr>
              <w:t>项目实施方案</w:t>
            </w:r>
          </w:p>
          <w:p>
            <w:pPr>
              <w:widowControl/>
              <w:jc w:val="center"/>
              <w:rPr>
                <w:rFonts w:ascii="宋体" w:hAnsi="宋体" w:cs="宋体"/>
                <w:sz w:val="24"/>
              </w:rPr>
            </w:pPr>
            <w:r>
              <w:rPr>
                <w:rFonts w:hint="eastAsia" w:ascii="宋体" w:hAnsi="宋体" w:cs="宋体"/>
                <w:bCs/>
                <w:kern w:val="0"/>
                <w:sz w:val="24"/>
              </w:rPr>
              <w:t>（满分</w:t>
            </w:r>
            <w:r>
              <w:rPr>
                <w:rFonts w:hint="eastAsia" w:ascii="宋体" w:hAnsi="宋体" w:cs="宋体"/>
                <w:bCs/>
                <w:kern w:val="0"/>
                <w:sz w:val="24"/>
                <w:lang w:val="en-US" w:eastAsia="zh-CN"/>
              </w:rPr>
              <w:t>20</w:t>
            </w:r>
            <w:r>
              <w:rPr>
                <w:rFonts w:hint="eastAsia" w:ascii="宋体" w:hAnsi="宋体" w:cs="宋体"/>
                <w:bCs/>
                <w:kern w:val="0"/>
                <w:sz w:val="24"/>
              </w:rPr>
              <w:t>分）</w:t>
            </w:r>
          </w:p>
        </w:tc>
        <w:tc>
          <w:tcPr>
            <w:tcW w:w="6324" w:type="dxa"/>
            <w:tcBorders>
              <w:top w:val="single" w:color="000000" w:sz="4" w:space="0"/>
              <w:left w:val="nil"/>
              <w:bottom w:val="single" w:color="auto" w:sz="4" w:space="0"/>
              <w:right w:val="single" w:color="000000" w:sz="4" w:space="0"/>
            </w:tcBorders>
            <w:vAlign w:val="center"/>
          </w:tcPr>
          <w:p>
            <w:pPr>
              <w:widowControl/>
              <w:rPr>
                <w:rFonts w:ascii="宋体" w:hAnsi="宋体" w:cs="宋体"/>
                <w:bCs/>
                <w:kern w:val="0"/>
                <w:sz w:val="24"/>
              </w:rPr>
            </w:pPr>
            <w:r>
              <w:rPr>
                <w:rFonts w:hint="eastAsia" w:ascii="宋体" w:hAnsi="宋体" w:cs="宋体"/>
                <w:bCs/>
                <w:kern w:val="0"/>
                <w:sz w:val="24"/>
              </w:rPr>
              <w:t>第一个档次（1</w:t>
            </w:r>
            <w:r>
              <w:rPr>
                <w:rFonts w:hint="eastAsia" w:ascii="宋体" w:hAnsi="宋体" w:cs="宋体"/>
                <w:bCs/>
                <w:kern w:val="0"/>
                <w:sz w:val="24"/>
                <w:lang w:val="en-US" w:eastAsia="zh-CN"/>
              </w:rPr>
              <w:t>5</w:t>
            </w:r>
            <w:r>
              <w:rPr>
                <w:rFonts w:hint="eastAsia" w:ascii="宋体" w:hAnsi="宋体" w:cs="宋体"/>
                <w:bCs/>
                <w:kern w:val="0"/>
                <w:sz w:val="24"/>
              </w:rPr>
              <w:t>-</w:t>
            </w:r>
            <w:r>
              <w:rPr>
                <w:rFonts w:hint="eastAsia" w:ascii="宋体" w:hAnsi="宋体" w:cs="宋体"/>
                <w:bCs/>
                <w:kern w:val="0"/>
                <w:sz w:val="24"/>
                <w:lang w:val="en-US" w:eastAsia="zh-CN"/>
              </w:rPr>
              <w:t>20</w:t>
            </w:r>
            <w:r>
              <w:rPr>
                <w:rFonts w:hint="eastAsia" w:ascii="宋体" w:hAnsi="宋体" w:cs="宋体"/>
                <w:bCs/>
                <w:kern w:val="0"/>
                <w:sz w:val="24"/>
              </w:rPr>
              <w:t>分）：项目实施方案中有详尽的项目实施方案，项目实施计划、项目验收实施方案等内容，对项目实施具有指导意义，各项内容科学合理、有针对性，满足项目要求，可行性优的；</w:t>
            </w:r>
          </w:p>
          <w:p>
            <w:pPr>
              <w:widowControl/>
              <w:rPr>
                <w:rFonts w:ascii="宋体" w:hAnsi="宋体" w:cs="宋体"/>
                <w:bCs/>
                <w:kern w:val="0"/>
                <w:sz w:val="24"/>
              </w:rPr>
            </w:pPr>
            <w:r>
              <w:rPr>
                <w:rFonts w:hint="eastAsia" w:ascii="宋体" w:hAnsi="宋体" w:cs="宋体"/>
                <w:bCs/>
                <w:kern w:val="0"/>
                <w:sz w:val="24"/>
              </w:rPr>
              <w:t>第二个档次（</w:t>
            </w:r>
            <w:r>
              <w:rPr>
                <w:rFonts w:hint="eastAsia" w:ascii="宋体" w:hAnsi="宋体" w:cs="宋体"/>
                <w:bCs/>
                <w:kern w:val="0"/>
                <w:sz w:val="24"/>
                <w:lang w:val="en-US" w:eastAsia="zh-CN"/>
              </w:rPr>
              <w:t>8</w:t>
            </w:r>
            <w:r>
              <w:rPr>
                <w:rFonts w:hint="eastAsia" w:ascii="宋体" w:hAnsi="宋体" w:cs="宋体"/>
                <w:bCs/>
                <w:kern w:val="0"/>
                <w:sz w:val="24"/>
              </w:rPr>
              <w:t>-</w:t>
            </w:r>
            <w:r>
              <w:rPr>
                <w:rFonts w:hint="eastAsia" w:ascii="宋体" w:hAnsi="宋体" w:cs="宋体"/>
                <w:bCs/>
                <w:kern w:val="0"/>
                <w:sz w:val="24"/>
                <w:lang w:val="en-US" w:eastAsia="zh-CN"/>
              </w:rPr>
              <w:t>15</w:t>
            </w:r>
            <w:r>
              <w:rPr>
                <w:rFonts w:hint="eastAsia" w:ascii="宋体" w:hAnsi="宋体" w:cs="宋体"/>
                <w:bCs/>
                <w:kern w:val="0"/>
                <w:sz w:val="24"/>
              </w:rPr>
              <w:t>分）：项目实施方案内容描述较详尽，项目实施计划合理，整体方案满足项目要求，可行性良好；</w:t>
            </w:r>
          </w:p>
          <w:p>
            <w:pPr>
              <w:widowControl/>
              <w:rPr>
                <w:rFonts w:ascii="宋体" w:hAnsi="宋体" w:cs="宋体"/>
                <w:sz w:val="24"/>
              </w:rPr>
            </w:pPr>
            <w:r>
              <w:rPr>
                <w:rFonts w:hint="eastAsia" w:ascii="宋体" w:hAnsi="宋体" w:cs="宋体"/>
                <w:bCs/>
                <w:kern w:val="0"/>
                <w:sz w:val="24"/>
              </w:rPr>
              <w:t>第三个档次（1-</w:t>
            </w:r>
            <w:r>
              <w:rPr>
                <w:rFonts w:hint="eastAsia" w:ascii="宋体" w:hAnsi="宋体" w:cs="宋体"/>
                <w:bCs/>
                <w:kern w:val="0"/>
                <w:sz w:val="24"/>
                <w:lang w:val="en-US" w:eastAsia="zh-CN"/>
              </w:rPr>
              <w:t>8</w:t>
            </w:r>
            <w:r>
              <w:rPr>
                <w:rFonts w:hint="eastAsia" w:ascii="宋体" w:hAnsi="宋体" w:cs="宋体"/>
                <w:bCs/>
                <w:kern w:val="0"/>
                <w:sz w:val="24"/>
              </w:rPr>
              <w:t>分）：项目实施方案内容存在缺陷或有缺失部分，基本满足项目要求，可行性一般。</w:t>
            </w:r>
          </w:p>
        </w:tc>
      </w:tr>
      <w:tr>
        <w:tblPrEx>
          <w:tblCellMar>
            <w:top w:w="0" w:type="dxa"/>
            <w:left w:w="108" w:type="dxa"/>
            <w:bottom w:w="0" w:type="dxa"/>
            <w:right w:w="108" w:type="dxa"/>
          </w:tblCellMar>
        </w:tblPrEx>
        <w:trPr>
          <w:trHeight w:val="179"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ind w:firstLine="240" w:firstLineChars="100"/>
              <w:rPr>
                <w:rFonts w:ascii="宋体" w:hAnsi="宋体" w:cs="宋体"/>
                <w:sz w:val="24"/>
              </w:rPr>
            </w:pPr>
            <w:r>
              <w:rPr>
                <w:rFonts w:hint="eastAsia" w:ascii="宋体" w:hAnsi="宋体" w:cs="宋体"/>
                <w:sz w:val="24"/>
              </w:rPr>
              <w:t>4</w:t>
            </w: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质量承诺及保障措施（</w:t>
            </w:r>
            <w:r>
              <w:rPr>
                <w:rFonts w:hint="eastAsia" w:ascii="宋体" w:hAnsi="宋体"/>
                <w:sz w:val="24"/>
                <w:lang w:val="en-US" w:eastAsia="zh-CN"/>
              </w:rPr>
              <w:t>10</w:t>
            </w:r>
            <w:r>
              <w:rPr>
                <w:rFonts w:hint="eastAsia" w:ascii="宋体" w:hAnsi="宋体"/>
                <w:sz w:val="24"/>
              </w:rPr>
              <w:t>分）</w:t>
            </w:r>
          </w:p>
        </w:tc>
        <w:tc>
          <w:tcPr>
            <w:tcW w:w="632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rPr>
            </w:pPr>
            <w:r>
              <w:rPr>
                <w:rFonts w:hint="eastAsia" w:ascii="宋体" w:hAnsi="宋体" w:cs="宋体"/>
                <w:kern w:val="0"/>
                <w:sz w:val="24"/>
              </w:rPr>
              <w:t>第一个档次（10-15分）：供应商产品质量保证及承诺优，有具体的违约责任承诺，并列出具体的保障措施且合理、有针对性；</w:t>
            </w:r>
          </w:p>
          <w:p>
            <w:pPr>
              <w:widowControl/>
              <w:rPr>
                <w:rFonts w:ascii="宋体" w:hAnsi="宋体" w:cs="宋体"/>
                <w:kern w:val="0"/>
                <w:sz w:val="24"/>
              </w:rPr>
            </w:pPr>
            <w:r>
              <w:rPr>
                <w:rFonts w:hint="eastAsia" w:ascii="宋体" w:hAnsi="宋体" w:cs="宋体"/>
                <w:kern w:val="0"/>
                <w:sz w:val="24"/>
              </w:rPr>
              <w:t>第二个档次（6-9分）：供应商产品质量保证及承诺良好，有违约责任承诺，并列出具体的保障措施且较合理的；</w:t>
            </w:r>
          </w:p>
          <w:p>
            <w:pPr>
              <w:widowControl/>
              <w:rPr>
                <w:rFonts w:ascii="宋体" w:hAnsi="宋体"/>
                <w:color w:val="000000"/>
                <w:sz w:val="24"/>
              </w:rPr>
            </w:pPr>
            <w:r>
              <w:rPr>
                <w:rFonts w:hint="eastAsia" w:ascii="宋体" w:hAnsi="宋体" w:cs="宋体"/>
                <w:kern w:val="0"/>
                <w:sz w:val="24"/>
              </w:rPr>
              <w:t>第三个档次（1-5分）：供应商产品质量保证及承诺一般，有违约责任承诺但不具体，列出的保障措施不合理的。</w:t>
            </w:r>
          </w:p>
        </w:tc>
      </w:tr>
      <w:tr>
        <w:tblPrEx>
          <w:tblCellMar>
            <w:top w:w="0" w:type="dxa"/>
            <w:left w:w="108" w:type="dxa"/>
            <w:bottom w:w="0" w:type="dxa"/>
            <w:right w:w="108" w:type="dxa"/>
          </w:tblCellMar>
        </w:tblPrEx>
        <w:trPr>
          <w:trHeight w:val="179"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lang w:val="en-US" w:eastAsia="zh-CN"/>
              </w:rPr>
            </w:pPr>
            <w:r>
              <w:rPr>
                <w:rFonts w:hint="eastAsia" w:ascii="宋体" w:hAnsi="宋体" w:cs="宋体"/>
                <w:sz w:val="24"/>
                <w:lang w:val="en-US" w:eastAsia="zh-CN"/>
              </w:rPr>
              <w:t>5</w:t>
            </w: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lang w:val="en-US" w:eastAsia="zh-CN"/>
              </w:rPr>
            </w:pPr>
            <w:r>
              <w:rPr>
                <w:rFonts w:hint="eastAsia" w:ascii="宋体" w:hAnsi="宋体"/>
                <w:sz w:val="24"/>
                <w:lang w:val="en-US" w:eastAsia="zh-CN"/>
              </w:rPr>
              <w:t>文档管理（5分）</w:t>
            </w:r>
          </w:p>
        </w:tc>
        <w:tc>
          <w:tcPr>
            <w:tcW w:w="632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kern w:val="0"/>
                <w:sz w:val="24"/>
              </w:rPr>
            </w:pPr>
            <w:r>
              <w:rPr>
                <w:rFonts w:hint="eastAsia"/>
                <w:sz w:val="22"/>
              </w:rPr>
              <w:t>根据项目实际，详细列举文档管理的内容，文档管理措施具体，满足项目建设和使用管理需要。满足的得</w:t>
            </w:r>
            <w:r>
              <w:rPr>
                <w:rFonts w:hint="eastAsia"/>
                <w:sz w:val="22"/>
                <w:lang w:val="en-US" w:eastAsia="zh-CN"/>
              </w:rPr>
              <w:t>5</w:t>
            </w:r>
            <w:r>
              <w:rPr>
                <w:rFonts w:hint="eastAsia"/>
                <w:sz w:val="22"/>
              </w:rPr>
              <w:t>分，否则不得分。</w:t>
            </w:r>
          </w:p>
        </w:tc>
      </w:tr>
      <w:tr>
        <w:tblPrEx>
          <w:tblCellMar>
            <w:top w:w="0" w:type="dxa"/>
            <w:left w:w="108" w:type="dxa"/>
            <w:bottom w:w="0" w:type="dxa"/>
            <w:right w:w="108" w:type="dxa"/>
          </w:tblCellMar>
        </w:tblPrEx>
        <w:trPr>
          <w:trHeight w:val="90" w:hRule="atLeast"/>
          <w:jc w:val="center"/>
        </w:trPr>
        <w:tc>
          <w:tcPr>
            <w:tcW w:w="630" w:type="dxa"/>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1851" w:type="dxa"/>
            <w:tcBorders>
              <w:top w:val="single" w:color="auto" w:sz="4" w:space="0"/>
              <w:left w:val="nil"/>
              <w:bottom w:val="single" w:color="000000" w:sz="4" w:space="0"/>
              <w:right w:val="single" w:color="000000" w:sz="4" w:space="0"/>
            </w:tcBorders>
            <w:vAlign w:val="center"/>
          </w:tcPr>
          <w:p>
            <w:pPr>
              <w:spacing w:line="360" w:lineRule="auto"/>
              <w:jc w:val="center"/>
              <w:rPr>
                <w:rFonts w:ascii="宋体" w:hAnsi="宋体" w:cs="宋体"/>
                <w:kern w:val="0"/>
                <w:szCs w:val="21"/>
                <w:lang w:bidi="ar"/>
              </w:rPr>
            </w:pPr>
            <w:r>
              <w:rPr>
                <w:rFonts w:hint="eastAsia" w:ascii="宋体" w:hAnsi="宋体" w:cs="宋体"/>
                <w:kern w:val="0"/>
                <w:szCs w:val="21"/>
                <w:lang w:bidi="ar"/>
              </w:rPr>
              <w:t>保密控制</w:t>
            </w:r>
          </w:p>
          <w:p>
            <w:pPr>
              <w:spacing w:line="360" w:lineRule="auto"/>
              <w:jc w:val="center"/>
              <w:rPr>
                <w:rFonts w:hint="eastAsia" w:ascii="宋体" w:hAnsi="宋体" w:eastAsia="宋体"/>
                <w:bCs/>
                <w:sz w:val="24"/>
                <w:lang w:eastAsia="zh-CN"/>
              </w:rPr>
            </w:pPr>
            <w:r>
              <w:rPr>
                <w:rFonts w:hint="eastAsia" w:ascii="宋体" w:hAnsi="宋体" w:cs="宋体"/>
                <w:kern w:val="0"/>
                <w:szCs w:val="21"/>
                <w:lang w:bidi="ar"/>
              </w:rPr>
              <w:t>措施</w:t>
            </w:r>
            <w:r>
              <w:rPr>
                <w:rFonts w:hint="eastAsia" w:ascii="宋体" w:hAnsi="宋体" w:cs="宋体"/>
                <w:kern w:val="0"/>
                <w:szCs w:val="21"/>
                <w:lang w:eastAsia="zh-CN" w:bidi="ar"/>
              </w:rPr>
              <w:t>（</w:t>
            </w:r>
            <w:r>
              <w:rPr>
                <w:rFonts w:hint="eastAsia" w:ascii="宋体" w:hAnsi="宋体" w:cs="宋体"/>
                <w:kern w:val="0"/>
                <w:szCs w:val="21"/>
                <w:lang w:val="en-US" w:eastAsia="zh-CN" w:bidi="ar"/>
              </w:rPr>
              <w:t>5分</w:t>
            </w:r>
            <w:r>
              <w:rPr>
                <w:rFonts w:hint="eastAsia" w:ascii="宋体" w:hAnsi="宋体" w:cs="宋体"/>
                <w:kern w:val="0"/>
                <w:szCs w:val="21"/>
                <w:lang w:eastAsia="zh-CN" w:bidi="ar"/>
              </w:rPr>
              <w:t>）</w:t>
            </w:r>
          </w:p>
        </w:tc>
        <w:tc>
          <w:tcPr>
            <w:tcW w:w="6324" w:type="dxa"/>
            <w:tcBorders>
              <w:top w:val="single" w:color="auto" w:sz="4" w:space="0"/>
              <w:left w:val="nil"/>
              <w:bottom w:val="single" w:color="000000" w:sz="4" w:space="0"/>
              <w:right w:val="single" w:color="000000" w:sz="4" w:space="0"/>
            </w:tcBorders>
            <w:vAlign w:val="center"/>
          </w:tcPr>
          <w:p>
            <w:pPr>
              <w:spacing w:line="360" w:lineRule="auto"/>
              <w:rPr>
                <w:rFonts w:ascii="宋体" w:hAnsi="宋体" w:cs="宋体"/>
                <w:kern w:val="0"/>
                <w:szCs w:val="21"/>
                <w:lang w:bidi="ar"/>
              </w:rPr>
            </w:pPr>
            <w:r>
              <w:rPr>
                <w:rFonts w:hint="eastAsia" w:ascii="宋体" w:hAnsi="宋体" w:cs="宋体"/>
                <w:kern w:val="0"/>
                <w:szCs w:val="21"/>
                <w:lang w:bidi="ar"/>
              </w:rPr>
              <w:t>结合项目保密要求, 供应商针对本项目提供服务保证措施、处罚措施和保密承诺：</w:t>
            </w:r>
          </w:p>
          <w:p>
            <w:pPr>
              <w:spacing w:line="360" w:lineRule="auto"/>
              <w:rPr>
                <w:rFonts w:ascii="宋体" w:hAnsi="宋体" w:cs="宋体"/>
                <w:kern w:val="0"/>
                <w:szCs w:val="21"/>
                <w:lang w:bidi="ar"/>
              </w:rPr>
            </w:pPr>
            <w:r>
              <w:rPr>
                <w:rFonts w:hint="eastAsia" w:ascii="宋体" w:hAnsi="宋体" w:cs="宋体"/>
                <w:kern w:val="0"/>
                <w:szCs w:val="21"/>
                <w:lang w:bidi="ar"/>
              </w:rPr>
              <w:t xml:space="preserve">内容科学完整、详细、可行性高、针对性强，得 5分； </w:t>
            </w:r>
          </w:p>
          <w:p>
            <w:pPr>
              <w:spacing w:line="360" w:lineRule="auto"/>
              <w:rPr>
                <w:rFonts w:ascii="宋体" w:hAnsi="宋体" w:cs="宋体"/>
                <w:kern w:val="0"/>
                <w:szCs w:val="21"/>
                <w:lang w:bidi="ar"/>
              </w:rPr>
            </w:pPr>
            <w:r>
              <w:rPr>
                <w:rFonts w:hint="eastAsia" w:ascii="宋体" w:hAnsi="宋体" w:cs="宋体"/>
                <w:kern w:val="0"/>
                <w:szCs w:val="21"/>
                <w:lang w:bidi="ar"/>
              </w:rPr>
              <w:t xml:space="preserve">内容完整、切实可行、具有针对性，得 3 分； </w:t>
            </w:r>
          </w:p>
          <w:p>
            <w:pPr>
              <w:spacing w:line="360" w:lineRule="auto"/>
              <w:rPr>
                <w:rFonts w:ascii="宋体" w:hAnsi="宋体" w:cs="宋体"/>
                <w:kern w:val="0"/>
                <w:szCs w:val="21"/>
                <w:lang w:bidi="ar"/>
              </w:rPr>
            </w:pPr>
            <w:r>
              <w:rPr>
                <w:rFonts w:hint="eastAsia" w:ascii="宋体" w:hAnsi="宋体" w:cs="宋体"/>
                <w:kern w:val="0"/>
                <w:szCs w:val="21"/>
                <w:lang w:bidi="ar"/>
              </w:rPr>
              <w:t xml:space="preserve">内容仅具备基本内容，可行性差，得 1 分； </w:t>
            </w:r>
          </w:p>
          <w:p>
            <w:pPr>
              <w:widowControl/>
              <w:rPr>
                <w:rFonts w:hint="eastAsia" w:ascii="宋体" w:hAnsi="宋体" w:cs="宋体"/>
                <w:bCs/>
                <w:kern w:val="0"/>
                <w:sz w:val="24"/>
              </w:rPr>
            </w:pPr>
            <w:r>
              <w:rPr>
                <w:rFonts w:hint="eastAsia" w:ascii="宋体" w:hAnsi="宋体" w:cs="宋体"/>
                <w:kern w:val="0"/>
                <w:szCs w:val="21"/>
                <w:lang w:bidi="ar"/>
              </w:rPr>
              <w:t>其他不得分。</w:t>
            </w:r>
          </w:p>
        </w:tc>
      </w:tr>
      <w:tr>
        <w:tblPrEx>
          <w:tblCellMar>
            <w:top w:w="0" w:type="dxa"/>
            <w:left w:w="108" w:type="dxa"/>
            <w:bottom w:w="0" w:type="dxa"/>
            <w:right w:w="108" w:type="dxa"/>
          </w:tblCellMar>
        </w:tblPrEx>
        <w:trPr>
          <w:trHeight w:val="90" w:hRule="atLeast"/>
          <w:jc w:val="center"/>
        </w:trPr>
        <w:tc>
          <w:tcPr>
            <w:tcW w:w="630" w:type="dxa"/>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851" w:type="dxa"/>
            <w:tcBorders>
              <w:top w:val="single" w:color="auto" w:sz="4" w:space="0"/>
              <w:left w:val="nil"/>
              <w:bottom w:val="single" w:color="000000" w:sz="4" w:space="0"/>
              <w:right w:val="single" w:color="000000" w:sz="4" w:space="0"/>
            </w:tcBorders>
            <w:vAlign w:val="center"/>
          </w:tcPr>
          <w:p>
            <w:pPr>
              <w:spacing w:line="360" w:lineRule="auto"/>
              <w:jc w:val="center"/>
              <w:rPr>
                <w:rFonts w:ascii="宋体" w:hAnsi="宋体"/>
                <w:bCs/>
                <w:sz w:val="24"/>
              </w:rPr>
            </w:pPr>
            <w:r>
              <w:rPr>
                <w:rFonts w:hint="eastAsia" w:ascii="宋体" w:hAnsi="宋体"/>
                <w:bCs/>
                <w:sz w:val="24"/>
              </w:rPr>
              <w:t>售后服务承诺及保障措施</w:t>
            </w:r>
          </w:p>
          <w:p>
            <w:pPr>
              <w:spacing w:line="360" w:lineRule="auto"/>
              <w:jc w:val="center"/>
              <w:rPr>
                <w:rFonts w:ascii="宋体" w:hAnsi="宋体" w:cs="宋体"/>
                <w:kern w:val="0"/>
                <w:sz w:val="24"/>
              </w:rPr>
            </w:pPr>
            <w:r>
              <w:rPr>
                <w:rFonts w:hint="eastAsia" w:ascii="宋体" w:hAnsi="宋体"/>
                <w:bCs/>
                <w:sz w:val="24"/>
              </w:rPr>
              <w:t>（</w:t>
            </w:r>
            <w:r>
              <w:rPr>
                <w:rFonts w:hint="eastAsia" w:ascii="宋体" w:hAnsi="宋体"/>
                <w:bCs/>
                <w:sz w:val="24"/>
                <w:lang w:val="en-US" w:eastAsia="zh-CN"/>
              </w:rPr>
              <w:t>5</w:t>
            </w:r>
            <w:r>
              <w:rPr>
                <w:rFonts w:hint="eastAsia" w:ascii="宋体" w:hAnsi="宋体"/>
                <w:bCs/>
                <w:sz w:val="24"/>
              </w:rPr>
              <w:t>分）</w:t>
            </w:r>
          </w:p>
        </w:tc>
        <w:tc>
          <w:tcPr>
            <w:tcW w:w="6324" w:type="dxa"/>
            <w:tcBorders>
              <w:top w:val="single" w:color="auto" w:sz="4" w:space="0"/>
              <w:left w:val="nil"/>
              <w:bottom w:val="single" w:color="000000" w:sz="4" w:space="0"/>
              <w:right w:val="single" w:color="000000" w:sz="4" w:space="0"/>
            </w:tcBorders>
            <w:vAlign w:val="center"/>
          </w:tcPr>
          <w:p>
            <w:pPr>
              <w:widowControl/>
              <w:rPr>
                <w:rFonts w:ascii="宋体" w:hAnsi="宋体" w:cs="宋体"/>
                <w:bCs/>
                <w:kern w:val="0"/>
                <w:sz w:val="24"/>
              </w:rPr>
            </w:pPr>
            <w:r>
              <w:rPr>
                <w:rFonts w:hint="eastAsia" w:ascii="宋体" w:hAnsi="宋体" w:cs="宋体"/>
                <w:bCs/>
                <w:kern w:val="0"/>
                <w:sz w:val="24"/>
              </w:rPr>
              <w:t>第一个档次（</w:t>
            </w:r>
            <w:r>
              <w:rPr>
                <w:rFonts w:hint="eastAsia" w:ascii="宋体" w:hAnsi="宋体" w:cs="宋体"/>
                <w:bCs/>
                <w:kern w:val="0"/>
                <w:sz w:val="24"/>
                <w:lang w:val="en-US" w:eastAsia="zh-CN"/>
              </w:rPr>
              <w:t>5</w:t>
            </w:r>
            <w:r>
              <w:rPr>
                <w:rFonts w:hint="eastAsia" w:ascii="宋体" w:hAnsi="宋体" w:cs="宋体"/>
                <w:bCs/>
                <w:kern w:val="0"/>
                <w:sz w:val="24"/>
              </w:rPr>
              <w:t>分）：售后服务能力强、售后服务具有便捷性，售后服务方案、培训计划完善具体、针对性强，保障措施有力，承诺责任详细可行；</w:t>
            </w:r>
          </w:p>
          <w:p>
            <w:pPr>
              <w:widowControl/>
              <w:rPr>
                <w:rFonts w:ascii="宋体" w:hAnsi="宋体" w:cs="宋体"/>
                <w:bCs/>
                <w:kern w:val="0"/>
                <w:sz w:val="24"/>
              </w:rPr>
            </w:pPr>
            <w:r>
              <w:rPr>
                <w:rFonts w:hint="eastAsia" w:ascii="宋体" w:hAnsi="宋体" w:cs="宋体"/>
                <w:bCs/>
                <w:kern w:val="0"/>
                <w:sz w:val="24"/>
              </w:rPr>
              <w:t>第二个档次（</w:t>
            </w:r>
            <w:r>
              <w:rPr>
                <w:rFonts w:hint="eastAsia" w:ascii="宋体" w:hAnsi="宋体" w:cs="宋体"/>
                <w:bCs/>
                <w:kern w:val="0"/>
                <w:sz w:val="24"/>
                <w:lang w:val="en-US" w:eastAsia="zh-CN"/>
              </w:rPr>
              <w:t>3</w:t>
            </w:r>
            <w:r>
              <w:rPr>
                <w:rFonts w:hint="eastAsia" w:ascii="宋体" w:hAnsi="宋体" w:cs="宋体"/>
                <w:bCs/>
                <w:kern w:val="0"/>
                <w:sz w:val="24"/>
              </w:rPr>
              <w:t>分）：售后服务能力较强、售后服务便捷性一般，售后服务方案、培训计划相应保障措施和承诺具体可行、有一定的针对性；</w:t>
            </w:r>
          </w:p>
          <w:p>
            <w:pPr>
              <w:widowControl/>
              <w:rPr>
                <w:rFonts w:ascii="宋体" w:hAnsi="宋体" w:cs="宋体"/>
                <w:kern w:val="0"/>
                <w:sz w:val="24"/>
              </w:rPr>
            </w:pPr>
            <w:r>
              <w:rPr>
                <w:rFonts w:hint="eastAsia" w:ascii="宋体" w:hAnsi="宋体" w:cs="宋体"/>
                <w:bCs/>
                <w:kern w:val="0"/>
                <w:sz w:val="24"/>
              </w:rPr>
              <w:t>第三个档次（</w:t>
            </w:r>
            <w:r>
              <w:rPr>
                <w:rFonts w:hint="eastAsia" w:ascii="宋体" w:hAnsi="宋体" w:cs="宋体"/>
                <w:bCs/>
                <w:kern w:val="0"/>
                <w:sz w:val="24"/>
                <w:lang w:val="en-US" w:eastAsia="zh-CN"/>
              </w:rPr>
              <w:t>1</w:t>
            </w:r>
            <w:r>
              <w:rPr>
                <w:rFonts w:hint="eastAsia" w:ascii="宋体" w:hAnsi="宋体" w:cs="宋体"/>
                <w:bCs/>
                <w:kern w:val="0"/>
                <w:sz w:val="24"/>
              </w:rPr>
              <w:t>分）：售后服务能力一般、售后服务便捷性较差，售后服务方案、培训计划相应保障措施和承诺可行性较差</w:t>
            </w:r>
            <w:r>
              <w:rPr>
                <w:rFonts w:hint="eastAsia" w:ascii="宋体" w:hAnsi="宋体" w:cs="宋体"/>
                <w:bCs/>
                <w:sz w:val="24"/>
              </w:rPr>
              <w:t>。</w:t>
            </w:r>
          </w:p>
        </w:tc>
      </w:tr>
      <w:tr>
        <w:tblPrEx>
          <w:tblCellMar>
            <w:top w:w="0" w:type="dxa"/>
            <w:left w:w="108" w:type="dxa"/>
            <w:bottom w:w="0" w:type="dxa"/>
            <w:right w:w="108" w:type="dxa"/>
          </w:tblCellMar>
        </w:tblPrEx>
        <w:trPr>
          <w:trHeight w:val="90" w:hRule="atLeast"/>
          <w:jc w:val="center"/>
        </w:trPr>
        <w:tc>
          <w:tcPr>
            <w:tcW w:w="630"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8</w:t>
            </w:r>
          </w:p>
        </w:tc>
        <w:tc>
          <w:tcPr>
            <w:tcW w:w="1851" w:type="dxa"/>
            <w:tcBorders>
              <w:top w:val="single" w:color="auto" w:sz="4" w:space="0"/>
              <w:left w:val="nil"/>
              <w:bottom w:val="single" w:color="000000" w:sz="4" w:space="0"/>
              <w:right w:val="single" w:color="000000" w:sz="4" w:space="0"/>
            </w:tcBorders>
            <w:vAlign w:val="center"/>
          </w:tcPr>
          <w:p>
            <w:pPr>
              <w:spacing w:line="360" w:lineRule="auto"/>
              <w:jc w:val="center"/>
              <w:rPr>
                <w:rFonts w:hint="eastAsia" w:ascii="宋体" w:hAnsi="宋体" w:eastAsia="宋体"/>
                <w:bCs/>
                <w:sz w:val="24"/>
                <w:lang w:eastAsia="zh-CN"/>
              </w:rPr>
            </w:pPr>
            <w:r>
              <w:rPr>
                <w:rFonts w:hint="eastAsia" w:ascii="宋体" w:hAnsi="宋体" w:eastAsia="宋体" w:cs="宋体"/>
                <w:color w:val="auto"/>
                <w:kern w:val="0"/>
                <w:sz w:val="24"/>
                <w:szCs w:val="24"/>
                <w:highlight w:val="none"/>
              </w:rPr>
              <w:t>技术能力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5分</w:t>
            </w:r>
            <w:r>
              <w:rPr>
                <w:rFonts w:hint="eastAsia" w:ascii="宋体" w:hAnsi="宋体" w:eastAsia="宋体" w:cs="宋体"/>
                <w:color w:val="auto"/>
                <w:kern w:val="0"/>
                <w:sz w:val="24"/>
                <w:szCs w:val="24"/>
                <w:highlight w:val="none"/>
                <w:lang w:eastAsia="zh-CN"/>
              </w:rPr>
              <w:t>）</w:t>
            </w:r>
          </w:p>
        </w:tc>
        <w:tc>
          <w:tcPr>
            <w:tcW w:w="6324" w:type="dxa"/>
            <w:tcBorders>
              <w:top w:val="single" w:color="auto" w:sz="4" w:space="0"/>
              <w:left w:val="nil"/>
              <w:bottom w:val="single" w:color="000000" w:sz="4" w:space="0"/>
              <w:right w:val="single" w:color="000000" w:sz="4" w:space="0"/>
            </w:tcBorders>
            <w:vAlign w:val="center"/>
          </w:tcPr>
          <w:p>
            <w:pPr>
              <w:widowControl/>
              <w:rPr>
                <w:rFonts w:hint="eastAsia" w:ascii="宋体" w:hAnsi="宋体" w:cs="宋体"/>
                <w:bCs/>
                <w:kern w:val="0"/>
                <w:sz w:val="24"/>
              </w:rPr>
            </w:pPr>
            <w:r>
              <w:rPr>
                <w:rFonts w:hint="eastAsia" w:ascii="宋体" w:hAnsi="宋体" w:eastAsia="宋体" w:cs="宋体"/>
                <w:color w:val="auto"/>
                <w:sz w:val="24"/>
                <w:szCs w:val="24"/>
                <w:highlight w:val="none"/>
              </w:rPr>
              <w:t>投标商需具有公安部第三研究所（国家认证认可委员会批准的认证机构）认证发放的《网络安全等级测评与检测评估机构服务认证证书》，或有取得该证书机构出具的项目授权函，得5分，否则不得分。</w:t>
            </w:r>
          </w:p>
        </w:tc>
      </w:tr>
      <w:tr>
        <w:tblPrEx>
          <w:tblCellMar>
            <w:top w:w="0" w:type="dxa"/>
            <w:left w:w="108" w:type="dxa"/>
            <w:bottom w:w="0" w:type="dxa"/>
            <w:right w:w="108" w:type="dxa"/>
          </w:tblCellMar>
        </w:tblPrEx>
        <w:trPr>
          <w:trHeight w:val="90" w:hRule="atLeast"/>
          <w:jc w:val="center"/>
        </w:trPr>
        <w:tc>
          <w:tcPr>
            <w:tcW w:w="630"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9</w:t>
            </w:r>
          </w:p>
        </w:tc>
        <w:tc>
          <w:tcPr>
            <w:tcW w:w="1851" w:type="dxa"/>
            <w:tcBorders>
              <w:top w:val="single" w:color="auto" w:sz="4" w:space="0"/>
              <w:left w:val="nil"/>
              <w:bottom w:val="single" w:color="000000" w:sz="4" w:space="0"/>
              <w:right w:val="single" w:color="000000" w:sz="4" w:space="0"/>
            </w:tcBorders>
            <w:vAlign w:val="center"/>
          </w:tcPr>
          <w:p>
            <w:pP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项目经理（5分）</w:t>
            </w:r>
          </w:p>
        </w:tc>
        <w:tc>
          <w:tcPr>
            <w:tcW w:w="6324" w:type="dxa"/>
            <w:tcBorders>
              <w:top w:val="single" w:color="auto" w:sz="4" w:space="0"/>
              <w:left w:val="nil"/>
              <w:bottom w:val="single" w:color="000000" w:sz="4" w:space="0"/>
              <w:right w:val="single" w:color="000000" w:sz="4" w:space="0"/>
            </w:tcBorders>
            <w:vAlign w:val="center"/>
          </w:tcPr>
          <w:p>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sz w:val="24"/>
              </w:rPr>
              <w:t>项目经理须持有高级测评师证书或</w:t>
            </w:r>
            <w:bookmarkStart w:id="86" w:name="_Hlk105667472"/>
            <w:r>
              <w:rPr>
                <w:rFonts w:hint="eastAsia" w:ascii="宋体" w:hAnsi="宋体" w:cs="宋体"/>
                <w:sz w:val="24"/>
              </w:rPr>
              <w:t>注册信息系统安全专业人员证书（CISP或CISSP）</w:t>
            </w:r>
            <w:bookmarkEnd w:id="86"/>
            <w:r>
              <w:rPr>
                <w:rFonts w:hint="eastAsia" w:ascii="宋体" w:hAnsi="宋体" w:cs="宋体"/>
                <w:sz w:val="24"/>
              </w:rPr>
              <w:t>。</w:t>
            </w:r>
            <w:r>
              <w:rPr>
                <w:rFonts w:hint="eastAsia" w:ascii="宋体" w:hAnsi="宋体" w:cs="宋体"/>
                <w:sz w:val="24"/>
                <w:lang w:val="en-US" w:eastAsia="zh-CN"/>
              </w:rPr>
              <w:t>提供证书复印件，</w:t>
            </w:r>
            <w:r>
              <w:rPr>
                <w:rFonts w:hint="eastAsia" w:ascii="宋体" w:hAnsi="宋体" w:eastAsia="宋体" w:cs="宋体"/>
                <w:color w:val="auto"/>
                <w:kern w:val="0"/>
                <w:sz w:val="24"/>
                <w:szCs w:val="24"/>
                <w:highlight w:val="none"/>
              </w:rPr>
              <w:t>没有不得分</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90" w:hRule="atLeast"/>
          <w:jc w:val="center"/>
        </w:trPr>
        <w:tc>
          <w:tcPr>
            <w:tcW w:w="630" w:type="dxa"/>
            <w:tcBorders>
              <w:top w:val="single" w:color="auto" w:sz="4" w:space="0"/>
              <w:left w:val="single" w:color="000000" w:sz="4" w:space="0"/>
              <w:bottom w:val="single" w:color="000000" w:sz="4" w:space="0"/>
              <w:right w:val="single" w:color="000000" w:sz="4" w:space="0"/>
            </w:tcBorders>
            <w:vAlign w:val="center"/>
          </w:tcPr>
          <w:p>
            <w:pPr>
              <w:ind w:firstLine="120" w:firstLineChars="50"/>
              <w:rPr>
                <w:rFonts w:hint="default" w:ascii="宋体" w:hAnsi="宋体" w:eastAsia="宋体" w:cs="宋体"/>
                <w:sz w:val="24"/>
                <w:lang w:val="en-US" w:eastAsia="zh-CN"/>
              </w:rPr>
            </w:pPr>
            <w:r>
              <w:rPr>
                <w:rFonts w:hint="eastAsia" w:ascii="宋体" w:hAnsi="宋体" w:cs="宋体"/>
                <w:sz w:val="24"/>
                <w:lang w:val="en-US" w:eastAsia="zh-CN"/>
              </w:rPr>
              <w:t>10</w:t>
            </w:r>
          </w:p>
        </w:tc>
        <w:tc>
          <w:tcPr>
            <w:tcW w:w="1851" w:type="dxa"/>
            <w:tcBorders>
              <w:top w:val="single" w:color="auto" w:sz="4" w:space="0"/>
              <w:left w:val="nil"/>
              <w:bottom w:val="single" w:color="000000" w:sz="4" w:space="0"/>
              <w:right w:val="single" w:color="000000" w:sz="4" w:space="0"/>
            </w:tcBorders>
            <w:vAlign w:val="center"/>
          </w:tcPr>
          <w:p>
            <w:pPr>
              <w:widowControl/>
              <w:rPr>
                <w:rFonts w:hint="eastAsia" w:ascii="宋体" w:hAnsi="宋体" w:eastAsia="宋体" w:cs="宋体"/>
                <w:bCs/>
                <w:kern w:val="0"/>
                <w:sz w:val="24"/>
              </w:rPr>
            </w:pPr>
            <w:r>
              <w:rPr>
                <w:rFonts w:hint="eastAsia" w:ascii="宋体" w:hAnsi="宋体" w:eastAsia="宋体" w:cs="宋体"/>
                <w:bCs/>
                <w:kern w:val="0"/>
                <w:sz w:val="24"/>
                <w:lang w:val="en-US" w:eastAsia="zh-CN"/>
              </w:rPr>
              <w:t>类似业绩</w:t>
            </w:r>
            <w:r>
              <w:rPr>
                <w:rFonts w:hint="eastAsia" w:ascii="宋体" w:hAnsi="宋体" w:eastAsia="宋体" w:cs="宋体"/>
                <w:bCs/>
                <w:kern w:val="0"/>
                <w:sz w:val="24"/>
              </w:rPr>
              <w:t>（</w:t>
            </w:r>
            <w:r>
              <w:rPr>
                <w:rFonts w:hint="eastAsia" w:ascii="宋体" w:hAnsi="宋体" w:cs="宋体"/>
                <w:bCs/>
                <w:kern w:val="0"/>
                <w:sz w:val="24"/>
                <w:lang w:val="en-US" w:eastAsia="zh-CN"/>
              </w:rPr>
              <w:t>5</w:t>
            </w:r>
            <w:r>
              <w:rPr>
                <w:rFonts w:hint="eastAsia" w:ascii="宋体" w:hAnsi="宋体" w:eastAsia="宋体" w:cs="宋体"/>
                <w:bCs/>
                <w:kern w:val="0"/>
                <w:sz w:val="24"/>
              </w:rPr>
              <w:t>分）</w:t>
            </w:r>
          </w:p>
        </w:tc>
        <w:tc>
          <w:tcPr>
            <w:tcW w:w="6324" w:type="dxa"/>
            <w:tcBorders>
              <w:top w:val="single" w:color="auto" w:sz="4" w:space="0"/>
              <w:left w:val="nil"/>
              <w:bottom w:val="single" w:color="000000" w:sz="4" w:space="0"/>
              <w:right w:val="single" w:color="000000" w:sz="4" w:space="0"/>
            </w:tcBorders>
            <w:vAlign w:val="center"/>
          </w:tcPr>
          <w:p>
            <w:pPr>
              <w:widowControl/>
              <w:rPr>
                <w:rFonts w:hint="eastAsia" w:ascii="宋体" w:hAnsi="宋体" w:eastAsia="宋体" w:cs="宋体"/>
                <w:bCs/>
                <w:kern w:val="0"/>
                <w:sz w:val="24"/>
              </w:rPr>
            </w:pPr>
            <w:r>
              <w:rPr>
                <w:rFonts w:hint="eastAsia" w:ascii="宋体" w:hAnsi="宋体" w:eastAsia="宋体" w:cs="宋体"/>
                <w:bCs/>
                <w:kern w:val="0"/>
                <w:sz w:val="24"/>
              </w:rPr>
              <w:t>供应商近三年内承担过类似服务项目，提供案例合同关键页复印件并加盖投标方公章的，每个得</w:t>
            </w:r>
            <w:r>
              <w:rPr>
                <w:rFonts w:hint="eastAsia" w:ascii="宋体" w:hAnsi="宋体" w:cs="宋体"/>
                <w:bCs/>
                <w:kern w:val="0"/>
                <w:sz w:val="24"/>
                <w:lang w:val="en-US" w:eastAsia="zh-CN"/>
              </w:rPr>
              <w:t>1</w:t>
            </w:r>
            <w:r>
              <w:rPr>
                <w:rFonts w:hint="eastAsia" w:ascii="宋体" w:hAnsi="宋体" w:eastAsia="宋体" w:cs="宋体"/>
                <w:bCs/>
                <w:kern w:val="0"/>
                <w:sz w:val="24"/>
              </w:rPr>
              <w:t>分，最多</w:t>
            </w:r>
            <w:r>
              <w:rPr>
                <w:rFonts w:hint="eastAsia" w:ascii="宋体" w:hAnsi="宋体" w:cs="宋体"/>
                <w:bCs/>
                <w:kern w:val="0"/>
                <w:sz w:val="24"/>
                <w:lang w:val="en-US" w:eastAsia="zh-CN"/>
              </w:rPr>
              <w:t>5</w:t>
            </w:r>
            <w:r>
              <w:rPr>
                <w:rFonts w:hint="eastAsia" w:ascii="宋体" w:hAnsi="宋体" w:eastAsia="宋体" w:cs="宋体"/>
                <w:bCs/>
                <w:kern w:val="0"/>
                <w:sz w:val="24"/>
              </w:rPr>
              <w:t>分。</w:t>
            </w:r>
          </w:p>
        </w:tc>
      </w:tr>
      <w:tr>
        <w:tblPrEx>
          <w:tblCellMar>
            <w:top w:w="0" w:type="dxa"/>
            <w:left w:w="108" w:type="dxa"/>
            <w:bottom w:w="0" w:type="dxa"/>
            <w:right w:w="108" w:type="dxa"/>
          </w:tblCellMar>
        </w:tblPrEx>
        <w:trPr>
          <w:trHeight w:val="540" w:hRule="atLeast"/>
          <w:jc w:val="center"/>
        </w:trPr>
        <w:tc>
          <w:tcPr>
            <w:tcW w:w="8805"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r>
              <w:rPr>
                <w:rFonts w:hint="eastAsia" w:ascii="宋体" w:hAnsi="宋体" w:cs="宋体"/>
                <w:sz w:val="24"/>
              </w:rPr>
              <w:t>注：1、</w:t>
            </w:r>
            <w:r>
              <w:rPr>
                <w:rFonts w:hint="eastAsia"/>
                <w:spacing w:val="10"/>
                <w:sz w:val="24"/>
              </w:rPr>
              <w:t>供应商的投标报价超过采购预算价的按无效标处理。</w:t>
            </w:r>
            <w:r>
              <w:rPr>
                <w:rFonts w:hint="eastAsia" w:ascii="宋体" w:hAnsi="宋体" w:cs="宋体"/>
                <w:sz w:val="24"/>
              </w:rPr>
              <w:t>所有评委打分分值的算术平均值为供应商的最终得分。如供应商提供虚假材料谋取中标的，一经查实，将取消投标或中标资格，投标保证金不予退还，给采购人造成损失的，还应赔偿相应损失；</w:t>
            </w:r>
          </w:p>
          <w:p>
            <w:pPr>
              <w:numPr>
                <w:ilvl w:val="0"/>
                <w:numId w:val="12"/>
              </w:numPr>
              <w:rPr>
                <w:rFonts w:ascii="Arial" w:hAnsi="Arial" w:cs="Arial"/>
                <w:sz w:val="24"/>
              </w:rPr>
            </w:pPr>
            <w:r>
              <w:rPr>
                <w:rFonts w:ascii="Arial" w:hAnsi="Arial" w:cs="Arial"/>
                <w:sz w:val="24"/>
              </w:rPr>
              <w:t>评标委员会认为</w:t>
            </w:r>
            <w:r>
              <w:rPr>
                <w:rFonts w:hint="eastAsia" w:ascii="Arial" w:hAnsi="Arial" w:cs="Arial"/>
                <w:sz w:val="24"/>
              </w:rPr>
              <w:t>供应商</w:t>
            </w:r>
            <w:r>
              <w:rPr>
                <w:rFonts w:ascii="Arial" w:hAnsi="Arial" w:cs="Arial"/>
                <w:sz w:val="24"/>
              </w:rPr>
              <w:t>的报价明显低于其他通过符合性审查</w:t>
            </w:r>
            <w:r>
              <w:rPr>
                <w:rFonts w:hint="eastAsia" w:ascii="Arial" w:hAnsi="Arial" w:cs="Arial"/>
                <w:sz w:val="24"/>
              </w:rPr>
              <w:t>供应商</w:t>
            </w:r>
            <w:r>
              <w:rPr>
                <w:rFonts w:ascii="Arial" w:hAnsi="Arial" w:cs="Arial"/>
                <w:sz w:val="24"/>
              </w:rPr>
              <w:t>的报价，有可能影响产品质量或者不能诚信履约的，应当要求其在评标现场合理的时间内提供书面说明，必要时提交相关证明材料；</w:t>
            </w:r>
            <w:r>
              <w:rPr>
                <w:rFonts w:hint="eastAsia" w:ascii="Arial" w:hAnsi="Arial" w:cs="Arial"/>
                <w:sz w:val="24"/>
              </w:rPr>
              <w:t>供应商</w:t>
            </w:r>
            <w:r>
              <w:rPr>
                <w:rFonts w:ascii="Arial" w:hAnsi="Arial" w:cs="Arial"/>
                <w:sz w:val="24"/>
              </w:rPr>
              <w:t>不能证明其报价合理性的，评标委员会应当将其作为无效投标处理</w:t>
            </w:r>
            <w:r>
              <w:rPr>
                <w:rFonts w:hint="eastAsia" w:ascii="Arial" w:hAnsi="Arial" w:cs="Arial"/>
                <w:sz w:val="24"/>
              </w:rPr>
              <w:t>；</w:t>
            </w:r>
          </w:p>
          <w:p>
            <w:pPr>
              <w:numPr>
                <w:ilvl w:val="0"/>
                <w:numId w:val="12"/>
              </w:numPr>
              <w:rPr>
                <w:rFonts w:ascii="Arial" w:hAnsi="Arial" w:cs="Arial"/>
                <w:sz w:val="24"/>
              </w:rPr>
            </w:pPr>
            <w:r>
              <w:rPr>
                <w:rFonts w:hint="eastAsia" w:ascii="Arial" w:hAnsi="Arial" w:cs="Arial"/>
                <w:sz w:val="24"/>
              </w:rPr>
              <w:t>核心产品提供相同品牌产品且通过资格审查、符合性审查的不同投标人参加同一合同项下投标的，按一家投标人计算，评审后得分最高的同品牌投标人获得中标人推荐资格；评审得分相同的，按照售后服务承诺及保障措施得分高低确定，其他同品牌投标人不作为中标候选人。</w:t>
            </w:r>
          </w:p>
        </w:tc>
      </w:tr>
    </w:tbl>
    <w:p>
      <w:pPr>
        <w:pStyle w:val="2"/>
      </w:pPr>
    </w:p>
    <w:p>
      <w:pPr>
        <w:pStyle w:val="38"/>
        <w:spacing w:before="0" w:beforeAutospacing="0" w:after="0" w:afterAutospacing="0" w:line="435" w:lineRule="atLeast"/>
        <w:ind w:left="-226" w:right="-226" w:firstLine="723" w:firstLineChars="300"/>
        <w:rPr>
          <w:rFonts w:cs="宋体"/>
          <w:b/>
          <w:bCs/>
        </w:rPr>
      </w:pPr>
      <w:r>
        <w:rPr>
          <w:rFonts w:hint="eastAsia" w:cs="宋体"/>
          <w:b/>
          <w:bCs/>
        </w:rPr>
        <w:t>4、本项目需要落实的政府采购政策：</w:t>
      </w:r>
    </w:p>
    <w:p>
      <w:pPr>
        <w:pStyle w:val="38"/>
        <w:spacing w:before="0" w:beforeAutospacing="0" w:after="0" w:afterAutospacing="0" w:line="435" w:lineRule="atLeast"/>
        <w:ind w:left="-226" w:right="-226" w:firstLine="420"/>
        <w:rPr>
          <w:rFonts w:cs="宋体"/>
        </w:rPr>
      </w:pPr>
      <w:r>
        <w:rPr>
          <w:rFonts w:hint="eastAsia" w:cs="宋体"/>
        </w:rPr>
        <w:t>（1）落实强制采购节能产品、鼓励节能政策：对国家公布的节能产品政府采购清单中属于强制采购的产品，予以强制采购。属于非强制采购的产品，在技术、服务等指标同等条件下，予以优先采购。执行政策文件：《国务院办公厅关于建立政府强制采购节能产品制度的通知》（国办发[2007]51号）。</w:t>
      </w:r>
    </w:p>
    <w:p>
      <w:pPr>
        <w:pStyle w:val="38"/>
        <w:spacing w:before="0" w:beforeAutospacing="0" w:after="0" w:afterAutospacing="0" w:line="435" w:lineRule="atLeast"/>
        <w:ind w:left="-226" w:right="-226" w:firstLine="420"/>
        <w:rPr>
          <w:rFonts w:cs="宋体"/>
        </w:rPr>
      </w:pPr>
      <w:r>
        <w:rPr>
          <w:rFonts w:hint="eastAsia" w:cs="宋体"/>
        </w:rPr>
        <w:t>（2）鼓励环保政策：在技术、服务等指标同等条件下，优先采购国家公布的属于环境标志产品政府采购清单中产品。执行政策文件：《关于环境标志产品政府采购实施的意见》（财库[2006]90号）。</w:t>
      </w:r>
    </w:p>
    <w:p>
      <w:pPr>
        <w:pStyle w:val="38"/>
        <w:spacing w:before="0" w:beforeAutospacing="0" w:after="0" w:afterAutospacing="0" w:line="435" w:lineRule="atLeast"/>
        <w:ind w:right="-226" w:firstLine="240" w:firstLineChars="100"/>
        <w:rPr>
          <w:rFonts w:cs="宋体"/>
          <w:b/>
          <w:bCs/>
        </w:rPr>
      </w:pPr>
      <w:r>
        <w:rPr>
          <w:rFonts w:hint="eastAsia" w:cs="宋体"/>
        </w:rPr>
        <w:t>（3）扶持中小企业政策：评审时中小企业提供的产品（提供本企业制造的货物、承担的工程或者服务，或者提供其他中小企业制造的货物）价格给予10%的扣除。监狱企业、残疾人福利性单位视同中小企业，其产品在评审时给予相同的价格扣除。执行政策文件：《中华人民共和国中小企业促进法》、《政府采购促进中小企业发展管理办法》、 《财政部司法部关于政府采购支持监狱企业发展有关问题的通知》（财库[2014]68号）、《财政部民政部中国残疾人联合会关于促进残疾人就业政府采购政策的通知》（财库〔2017〕141号）。</w:t>
      </w:r>
    </w:p>
    <w:p>
      <w:pPr>
        <w:pStyle w:val="19"/>
        <w:spacing w:line="360" w:lineRule="auto"/>
        <w:ind w:left="0" w:leftChars="0" w:right="-235" w:rightChars="-112" w:firstLine="472" w:firstLineChars="196"/>
        <w:rPr>
          <w:b/>
          <w:bCs/>
          <w:color w:val="000000"/>
        </w:rPr>
      </w:pPr>
      <w:r>
        <w:rPr>
          <w:rFonts w:hint="eastAsia"/>
          <w:b/>
          <w:bCs/>
          <w:color w:val="000000"/>
        </w:rPr>
        <w:t>5</w:t>
      </w:r>
      <w:r>
        <w:rPr>
          <w:b/>
          <w:bCs/>
          <w:color w:val="000000"/>
        </w:rPr>
        <w:t>、</w:t>
      </w:r>
      <w:bookmarkEnd w:id="85"/>
      <w:r>
        <w:rPr>
          <w:rFonts w:hint="eastAsia"/>
          <w:b/>
          <w:bCs/>
          <w:color w:val="000000"/>
        </w:rPr>
        <w:t>确定成交人</w:t>
      </w:r>
    </w:p>
    <w:p>
      <w:pPr>
        <w:widowControl/>
        <w:spacing w:line="360" w:lineRule="auto"/>
        <w:ind w:firstLine="480" w:firstLineChars="200"/>
        <w:rPr>
          <w:rFonts w:ascii="宋体" w:hAnsi="宋体"/>
          <w:bCs/>
          <w:color w:val="000000"/>
          <w:sz w:val="24"/>
        </w:rPr>
      </w:pPr>
      <w:r>
        <w:rPr>
          <w:rFonts w:hint="eastAsia" w:ascii="宋体" w:hAnsi="宋体"/>
          <w:bCs/>
          <w:color w:val="000000"/>
          <w:sz w:val="24"/>
        </w:rPr>
        <w:t>5.1采购人根据竞争性磋商小组磋商报告确定成交人。</w:t>
      </w:r>
    </w:p>
    <w:p>
      <w:pPr>
        <w:widowControl/>
        <w:spacing w:line="360" w:lineRule="auto"/>
        <w:ind w:firstLine="480" w:firstLineChars="200"/>
        <w:rPr>
          <w:rFonts w:ascii="宋体" w:hAnsi="宋体"/>
          <w:bCs/>
          <w:color w:val="000000"/>
          <w:sz w:val="24"/>
        </w:rPr>
      </w:pPr>
      <w:r>
        <w:rPr>
          <w:rFonts w:hint="eastAsia" w:ascii="宋体" w:hAnsi="宋体"/>
          <w:bCs/>
          <w:color w:val="000000"/>
          <w:sz w:val="24"/>
        </w:rPr>
        <w:t>5.2采购代理机构根据定标结果向成交候选人发出成交通知书。</w:t>
      </w:r>
    </w:p>
    <w:p>
      <w:pPr>
        <w:spacing w:line="360" w:lineRule="auto"/>
        <w:ind w:firstLine="480" w:firstLineChars="200"/>
        <w:rPr>
          <w:rFonts w:ascii="宋体" w:hAnsi="宋体"/>
          <w:bCs/>
          <w:color w:val="000000"/>
          <w:sz w:val="24"/>
        </w:rPr>
      </w:pPr>
      <w:r>
        <w:rPr>
          <w:rFonts w:hint="eastAsia" w:ascii="宋体" w:hAnsi="宋体"/>
          <w:bCs/>
          <w:color w:val="000000"/>
          <w:sz w:val="24"/>
        </w:rPr>
        <w:t>5</w:t>
      </w:r>
      <w:r>
        <w:rPr>
          <w:rFonts w:ascii="宋体" w:hAnsi="宋体"/>
          <w:bCs/>
          <w:color w:val="000000"/>
          <w:sz w:val="24"/>
        </w:rPr>
        <w:t>.</w:t>
      </w:r>
      <w:r>
        <w:rPr>
          <w:rFonts w:hint="eastAsia" w:ascii="宋体" w:hAnsi="宋体"/>
          <w:bCs/>
          <w:color w:val="000000"/>
          <w:sz w:val="24"/>
        </w:rPr>
        <w:t>3申请</w:t>
      </w:r>
      <w:r>
        <w:rPr>
          <w:rFonts w:ascii="宋体" w:hAnsi="宋体"/>
          <w:bCs/>
          <w:color w:val="000000"/>
          <w:sz w:val="24"/>
        </w:rPr>
        <w:t>单位根据</w:t>
      </w:r>
      <w:r>
        <w:rPr>
          <w:rFonts w:hint="eastAsia" w:ascii="宋体" w:hAnsi="宋体"/>
          <w:bCs/>
          <w:color w:val="000000"/>
          <w:sz w:val="24"/>
        </w:rPr>
        <w:t>成交</w:t>
      </w:r>
      <w:r>
        <w:rPr>
          <w:rFonts w:ascii="宋体" w:hAnsi="宋体"/>
          <w:bCs/>
          <w:color w:val="000000"/>
          <w:sz w:val="24"/>
        </w:rPr>
        <w:t>通知书要求的时间、地点与买方商签合同，并根据约定提交合同履约保证金。</w:t>
      </w:r>
    </w:p>
    <w:p/>
    <w:sectPr>
      <w:pgSz w:w="11906" w:h="16838"/>
      <w:pgMar w:top="1247" w:right="1134" w:bottom="1247"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Book Antiqua">
    <w:panose1 w:val="02040602050305030304"/>
    <w:charset w:val="00"/>
    <w:family w:val="roman"/>
    <w:pitch w:val="default"/>
    <w:sig w:usb0="00000287"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page" w:x="5995" w:yAlign="center"/>
      <w:rPr>
        <w:rStyle w:val="46"/>
      </w:rPr>
    </w:pPr>
    <w:r>
      <w:fldChar w:fldCharType="begin"/>
    </w:r>
    <w:r>
      <w:rPr>
        <w:rStyle w:val="46"/>
      </w:rPr>
      <w:instrText xml:space="preserve">PAGE  </w:instrText>
    </w:r>
    <w:r>
      <w:fldChar w:fldCharType="separate"/>
    </w:r>
    <w:r>
      <w:rPr>
        <w:rStyle w:val="46"/>
      </w:rPr>
      <w:t>21</w:t>
    </w:r>
    <w:r>
      <w:fldChar w:fldCharType="end"/>
    </w:r>
  </w:p>
  <w:p>
    <w:pPr>
      <w:pStyle w:val="2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CBBA2"/>
    <w:multiLevelType w:val="singleLevel"/>
    <w:tmpl w:val="C1CCBBA2"/>
    <w:lvl w:ilvl="0" w:tentative="0">
      <w:start w:val="2"/>
      <w:numFmt w:val="decimal"/>
      <w:suff w:val="nothing"/>
      <w:lvlText w:val="%1、"/>
      <w:lvlJc w:val="left"/>
    </w:lvl>
  </w:abstractNum>
  <w:abstractNum w:abstractNumId="1">
    <w:nsid w:val="CC8C630C"/>
    <w:multiLevelType w:val="singleLevel"/>
    <w:tmpl w:val="CC8C630C"/>
    <w:lvl w:ilvl="0" w:tentative="0">
      <w:start w:val="1"/>
      <w:numFmt w:val="decimal"/>
      <w:suff w:val="nothing"/>
      <w:lvlText w:val="%1、"/>
      <w:lvlJc w:val="left"/>
      <w:pPr>
        <w:ind w:left="630"/>
      </w:pPr>
    </w:lvl>
  </w:abstractNum>
  <w:abstractNum w:abstractNumId="2">
    <w:nsid w:val="E33994DB"/>
    <w:multiLevelType w:val="singleLevel"/>
    <w:tmpl w:val="E33994DB"/>
    <w:lvl w:ilvl="0" w:tentative="0">
      <w:start w:val="1"/>
      <w:numFmt w:val="bullet"/>
      <w:lvlText w:val=""/>
      <w:lvlJc w:val="left"/>
      <w:pPr>
        <w:ind w:left="420" w:hanging="420"/>
      </w:pPr>
      <w:rPr>
        <w:rFonts w:hint="default" w:ascii="Wingdings" w:hAnsi="Wingdings"/>
      </w:rPr>
    </w:lvl>
  </w:abstractNum>
  <w:abstractNum w:abstractNumId="3">
    <w:nsid w:val="FFFFFFFB"/>
    <w:multiLevelType w:val="multilevel"/>
    <w:tmpl w:val="FFFFFFFB"/>
    <w:lvl w:ilvl="0" w:tentative="0">
      <w:start w:val="1"/>
      <w:numFmt w:val="decimal"/>
      <w:suff w:val="nothing"/>
      <w:lvlText w:val="%1  "/>
      <w:lvlJc w:val="left"/>
      <w:pPr>
        <w:ind w:left="0" w:firstLine="0"/>
      </w:pPr>
      <w:rPr>
        <w:rFonts w:hint="eastAsia" w:ascii="宋体" w:eastAsia="宋体"/>
        <w:b/>
        <w:i w:val="0"/>
      </w:rPr>
    </w:lvl>
    <w:lvl w:ilvl="1" w:tentative="0">
      <w:start w:val="1"/>
      <w:numFmt w:val="decimal"/>
      <w:isLgl/>
      <w:suff w:val="nothing"/>
      <w:lvlText w:val="%1.%2. "/>
      <w:lvlJc w:val="left"/>
      <w:pPr>
        <w:ind w:left="0" w:firstLine="0"/>
      </w:pPr>
      <w:rPr>
        <w:rFonts w:hint="default" w:ascii="Arial" w:hAnsi="Arial"/>
        <w:b/>
        <w:i w:val="0"/>
      </w:rPr>
    </w:lvl>
    <w:lvl w:ilvl="2" w:tentative="0">
      <w:start w:val="1"/>
      <w:numFmt w:val="decimal"/>
      <w:isLgl/>
      <w:suff w:val="nothing"/>
      <w:lvlText w:val="%1.%2.%3. "/>
      <w:lvlJc w:val="left"/>
      <w:pPr>
        <w:ind w:left="340" w:firstLine="0"/>
      </w:pPr>
      <w:rPr>
        <w:rFonts w:hint="default" w:ascii="Arial" w:hAnsi="Arial"/>
        <w:b/>
        <w:i w:val="0"/>
      </w:rPr>
    </w:lvl>
    <w:lvl w:ilvl="3" w:tentative="0">
      <w:start w:val="1"/>
      <w:numFmt w:val="decimal"/>
      <w:isLgl/>
      <w:suff w:val="nothing"/>
      <w:lvlText w:val="%1.%2.%3.%4. "/>
      <w:lvlJc w:val="left"/>
      <w:pPr>
        <w:ind w:left="0" w:firstLine="0"/>
      </w:pPr>
      <w:rPr>
        <w:rFonts w:hint="default" w:ascii="Arial" w:hAnsi="Arial"/>
        <w:b/>
        <w:i w:val="0"/>
      </w:rPr>
    </w:lvl>
    <w:lvl w:ilvl="4" w:tentative="0">
      <w:start w:val="1"/>
      <w:numFmt w:val="decimal"/>
      <w:isLgl/>
      <w:suff w:val="nothing"/>
      <w:lvlText w:val="%1.%2.%3.%4.%5. "/>
      <w:lvlJc w:val="left"/>
      <w:pPr>
        <w:ind w:left="0" w:firstLine="0"/>
      </w:pPr>
      <w:rPr>
        <w:rFonts w:hint="default" w:ascii="Arial" w:hAnsi="Arial"/>
        <w:b/>
        <w:i w:val="0"/>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04667609"/>
    <w:multiLevelType w:val="multilevel"/>
    <w:tmpl w:val="04667609"/>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20"/>
        </w:tabs>
        <w:ind w:left="709" w:hanging="709"/>
      </w:pPr>
      <w:rPr>
        <w:rFonts w:hint="eastAsia"/>
      </w:rPr>
    </w:lvl>
    <w:lvl w:ilvl="3" w:tentative="0">
      <w:start w:val="1"/>
      <w:numFmt w:val="decimal"/>
      <w:pStyle w:val="7"/>
      <w:lvlText w:val="%1.%2.%3.%4."/>
      <w:lvlJc w:val="left"/>
      <w:pPr>
        <w:tabs>
          <w:tab w:val="left" w:pos="1080"/>
        </w:tabs>
        <w:ind w:left="851" w:hanging="851"/>
      </w:pPr>
      <w:rPr>
        <w:rFonts w:hint="eastAsia"/>
      </w:rPr>
    </w:lvl>
    <w:lvl w:ilvl="4" w:tentative="0">
      <w:start w:val="1"/>
      <w:numFmt w:val="decimal"/>
      <w:lvlText w:val="%1.%2.%3.%4.%5."/>
      <w:lvlJc w:val="left"/>
      <w:pPr>
        <w:tabs>
          <w:tab w:val="left" w:pos="1440"/>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4220BC6"/>
    <w:multiLevelType w:val="multilevel"/>
    <w:tmpl w:val="14220BC6"/>
    <w:lvl w:ilvl="0" w:tentative="0">
      <w:start w:val="1"/>
      <w:numFmt w:val="decimal"/>
      <w:lvlText w:val="(%1)"/>
      <w:lvlJc w:val="left"/>
      <w:pPr>
        <w:ind w:left="3261"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89C9EA1"/>
    <w:multiLevelType w:val="singleLevel"/>
    <w:tmpl w:val="289C9EA1"/>
    <w:lvl w:ilvl="0" w:tentative="0">
      <w:start w:val="1"/>
      <w:numFmt w:val="decimalEnclosedCircleChinese"/>
      <w:suff w:val="space"/>
      <w:lvlText w:val="%1"/>
      <w:lvlJc w:val="left"/>
      <w:rPr>
        <w:rFonts w:hint="eastAsia"/>
      </w:rPr>
    </w:lvl>
  </w:abstractNum>
  <w:abstractNum w:abstractNumId="7">
    <w:nsid w:val="2AE95529"/>
    <w:multiLevelType w:val="multilevel"/>
    <w:tmpl w:val="2AE9552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4B541D8"/>
    <w:multiLevelType w:val="multilevel"/>
    <w:tmpl w:val="34B541D8"/>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9">
    <w:nsid w:val="5231B62A"/>
    <w:multiLevelType w:val="singleLevel"/>
    <w:tmpl w:val="5231B62A"/>
    <w:lvl w:ilvl="0" w:tentative="0">
      <w:start w:val="1"/>
      <w:numFmt w:val="decimal"/>
      <w:lvlText w:val="(%1)"/>
      <w:lvlJc w:val="left"/>
      <w:pPr>
        <w:ind w:left="425" w:hanging="425"/>
      </w:pPr>
      <w:rPr>
        <w:rFonts w:hint="default"/>
      </w:rPr>
    </w:lvl>
  </w:abstractNum>
  <w:abstractNum w:abstractNumId="10">
    <w:nsid w:val="56EA25C8"/>
    <w:multiLevelType w:val="multilevel"/>
    <w:tmpl w:val="56EA25C8"/>
    <w:lvl w:ilvl="0" w:tentative="0">
      <w:start w:val="4"/>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9E906FA"/>
    <w:multiLevelType w:val="multilevel"/>
    <w:tmpl w:val="59E906FA"/>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3"/>
  </w:num>
  <w:num w:numId="3">
    <w:abstractNumId w:val="10"/>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4ZWI3MWZiNDcyNTZlZWI0NTM5ZjY0OWM5Mjk3NDgifQ=="/>
  </w:docVars>
  <w:rsids>
    <w:rsidRoot w:val="00A0272F"/>
    <w:rsid w:val="00000FEB"/>
    <w:rsid w:val="00001B59"/>
    <w:rsid w:val="00001D93"/>
    <w:rsid w:val="00005437"/>
    <w:rsid w:val="00005E97"/>
    <w:rsid w:val="000112E5"/>
    <w:rsid w:val="000116B3"/>
    <w:rsid w:val="00011F5F"/>
    <w:rsid w:val="00013391"/>
    <w:rsid w:val="000138E0"/>
    <w:rsid w:val="00013FA7"/>
    <w:rsid w:val="00013FBC"/>
    <w:rsid w:val="00014060"/>
    <w:rsid w:val="00017838"/>
    <w:rsid w:val="00021249"/>
    <w:rsid w:val="000212A0"/>
    <w:rsid w:val="00021B1E"/>
    <w:rsid w:val="00025CE0"/>
    <w:rsid w:val="000263BA"/>
    <w:rsid w:val="0002650F"/>
    <w:rsid w:val="00030FF4"/>
    <w:rsid w:val="00035627"/>
    <w:rsid w:val="00041CED"/>
    <w:rsid w:val="00042ADB"/>
    <w:rsid w:val="000437A2"/>
    <w:rsid w:val="00043C5C"/>
    <w:rsid w:val="00044474"/>
    <w:rsid w:val="00045A6F"/>
    <w:rsid w:val="000472FD"/>
    <w:rsid w:val="00051560"/>
    <w:rsid w:val="000515B4"/>
    <w:rsid w:val="0005322A"/>
    <w:rsid w:val="000566C0"/>
    <w:rsid w:val="0005735B"/>
    <w:rsid w:val="000575EE"/>
    <w:rsid w:val="000603A8"/>
    <w:rsid w:val="00060801"/>
    <w:rsid w:val="00060AE4"/>
    <w:rsid w:val="00062192"/>
    <w:rsid w:val="000623C7"/>
    <w:rsid w:val="00062B4D"/>
    <w:rsid w:val="00064873"/>
    <w:rsid w:val="000657E6"/>
    <w:rsid w:val="0006585C"/>
    <w:rsid w:val="00067793"/>
    <w:rsid w:val="00071F95"/>
    <w:rsid w:val="0007201F"/>
    <w:rsid w:val="0007335A"/>
    <w:rsid w:val="000737F4"/>
    <w:rsid w:val="00073F3A"/>
    <w:rsid w:val="00074304"/>
    <w:rsid w:val="000751CB"/>
    <w:rsid w:val="00077079"/>
    <w:rsid w:val="0009191D"/>
    <w:rsid w:val="00091C58"/>
    <w:rsid w:val="00091F0C"/>
    <w:rsid w:val="000925BE"/>
    <w:rsid w:val="00095142"/>
    <w:rsid w:val="000969CF"/>
    <w:rsid w:val="00096D86"/>
    <w:rsid w:val="00096F5A"/>
    <w:rsid w:val="000A0040"/>
    <w:rsid w:val="000A0A42"/>
    <w:rsid w:val="000A14A9"/>
    <w:rsid w:val="000A338C"/>
    <w:rsid w:val="000A6FA3"/>
    <w:rsid w:val="000B0D85"/>
    <w:rsid w:val="000B24E0"/>
    <w:rsid w:val="000B2B58"/>
    <w:rsid w:val="000B3E41"/>
    <w:rsid w:val="000B3EEC"/>
    <w:rsid w:val="000B44FD"/>
    <w:rsid w:val="000B768D"/>
    <w:rsid w:val="000B7CFE"/>
    <w:rsid w:val="000C1150"/>
    <w:rsid w:val="000C11A3"/>
    <w:rsid w:val="000C1CEB"/>
    <w:rsid w:val="000C76B8"/>
    <w:rsid w:val="000D0603"/>
    <w:rsid w:val="000D1BAF"/>
    <w:rsid w:val="000D2842"/>
    <w:rsid w:val="000D7011"/>
    <w:rsid w:val="000E1B92"/>
    <w:rsid w:val="000E1FE9"/>
    <w:rsid w:val="000E2ACC"/>
    <w:rsid w:val="000E3ADD"/>
    <w:rsid w:val="000E4A0A"/>
    <w:rsid w:val="000E4FA7"/>
    <w:rsid w:val="000E69A1"/>
    <w:rsid w:val="000E7FB1"/>
    <w:rsid w:val="000F1738"/>
    <w:rsid w:val="000F23CF"/>
    <w:rsid w:val="000F4CF2"/>
    <w:rsid w:val="000F4FD9"/>
    <w:rsid w:val="00100A9C"/>
    <w:rsid w:val="0010540E"/>
    <w:rsid w:val="001104EC"/>
    <w:rsid w:val="001113D7"/>
    <w:rsid w:val="0011261A"/>
    <w:rsid w:val="00112A96"/>
    <w:rsid w:val="001143D1"/>
    <w:rsid w:val="00115741"/>
    <w:rsid w:val="00115894"/>
    <w:rsid w:val="0012048A"/>
    <w:rsid w:val="00123C93"/>
    <w:rsid w:val="0012478A"/>
    <w:rsid w:val="0013165C"/>
    <w:rsid w:val="0013206B"/>
    <w:rsid w:val="001360EA"/>
    <w:rsid w:val="0014296C"/>
    <w:rsid w:val="00143868"/>
    <w:rsid w:val="00147E99"/>
    <w:rsid w:val="00150405"/>
    <w:rsid w:val="0015496F"/>
    <w:rsid w:val="00155FB0"/>
    <w:rsid w:val="00161B01"/>
    <w:rsid w:val="00163020"/>
    <w:rsid w:val="001657D6"/>
    <w:rsid w:val="00165984"/>
    <w:rsid w:val="00171D4C"/>
    <w:rsid w:val="00172245"/>
    <w:rsid w:val="0017265F"/>
    <w:rsid w:val="001732BE"/>
    <w:rsid w:val="001732CA"/>
    <w:rsid w:val="001775A0"/>
    <w:rsid w:val="00186E14"/>
    <w:rsid w:val="0018702F"/>
    <w:rsid w:val="001870C0"/>
    <w:rsid w:val="0018737D"/>
    <w:rsid w:val="00190827"/>
    <w:rsid w:val="00192371"/>
    <w:rsid w:val="001938E2"/>
    <w:rsid w:val="00194174"/>
    <w:rsid w:val="00196C31"/>
    <w:rsid w:val="00197B6D"/>
    <w:rsid w:val="001A2AF1"/>
    <w:rsid w:val="001A32ED"/>
    <w:rsid w:val="001A7130"/>
    <w:rsid w:val="001A7253"/>
    <w:rsid w:val="001B3159"/>
    <w:rsid w:val="001B498D"/>
    <w:rsid w:val="001B5222"/>
    <w:rsid w:val="001B7661"/>
    <w:rsid w:val="001C000B"/>
    <w:rsid w:val="001C2256"/>
    <w:rsid w:val="001C2FDD"/>
    <w:rsid w:val="001C3144"/>
    <w:rsid w:val="001D0618"/>
    <w:rsid w:val="001D0C85"/>
    <w:rsid w:val="001D3FDD"/>
    <w:rsid w:val="001D43D5"/>
    <w:rsid w:val="001E133A"/>
    <w:rsid w:val="001E6A75"/>
    <w:rsid w:val="001E73B3"/>
    <w:rsid w:val="001F0791"/>
    <w:rsid w:val="001F22B6"/>
    <w:rsid w:val="001F6209"/>
    <w:rsid w:val="001F64A7"/>
    <w:rsid w:val="00202270"/>
    <w:rsid w:val="00203891"/>
    <w:rsid w:val="002043B7"/>
    <w:rsid w:val="00204A22"/>
    <w:rsid w:val="00204DE3"/>
    <w:rsid w:val="00207657"/>
    <w:rsid w:val="00210A2C"/>
    <w:rsid w:val="002159CA"/>
    <w:rsid w:val="00216211"/>
    <w:rsid w:val="0021662F"/>
    <w:rsid w:val="00220FE8"/>
    <w:rsid w:val="002260A5"/>
    <w:rsid w:val="0022631E"/>
    <w:rsid w:val="002269E9"/>
    <w:rsid w:val="0023095B"/>
    <w:rsid w:val="002315D5"/>
    <w:rsid w:val="00231FA5"/>
    <w:rsid w:val="00233500"/>
    <w:rsid w:val="0023361D"/>
    <w:rsid w:val="00234C16"/>
    <w:rsid w:val="00235F42"/>
    <w:rsid w:val="002369BA"/>
    <w:rsid w:val="00241CAD"/>
    <w:rsid w:val="00242560"/>
    <w:rsid w:val="00245F5F"/>
    <w:rsid w:val="00251423"/>
    <w:rsid w:val="002519A1"/>
    <w:rsid w:val="002525D2"/>
    <w:rsid w:val="00254788"/>
    <w:rsid w:val="002549D7"/>
    <w:rsid w:val="002572FE"/>
    <w:rsid w:val="00261533"/>
    <w:rsid w:val="00261ACD"/>
    <w:rsid w:val="00263DA8"/>
    <w:rsid w:val="00264115"/>
    <w:rsid w:val="00264754"/>
    <w:rsid w:val="002676DA"/>
    <w:rsid w:val="00270489"/>
    <w:rsid w:val="00271B70"/>
    <w:rsid w:val="00275A08"/>
    <w:rsid w:val="0028311E"/>
    <w:rsid w:val="00285C2D"/>
    <w:rsid w:val="00286C57"/>
    <w:rsid w:val="002870F7"/>
    <w:rsid w:val="0028777D"/>
    <w:rsid w:val="00290EF0"/>
    <w:rsid w:val="00290F5E"/>
    <w:rsid w:val="002919EE"/>
    <w:rsid w:val="0029273C"/>
    <w:rsid w:val="0029584F"/>
    <w:rsid w:val="002960EA"/>
    <w:rsid w:val="00297B5A"/>
    <w:rsid w:val="00297DFA"/>
    <w:rsid w:val="002A0F1E"/>
    <w:rsid w:val="002A34C1"/>
    <w:rsid w:val="002A3CB5"/>
    <w:rsid w:val="002A5152"/>
    <w:rsid w:val="002A5FA4"/>
    <w:rsid w:val="002A7558"/>
    <w:rsid w:val="002B0912"/>
    <w:rsid w:val="002B4E02"/>
    <w:rsid w:val="002B5268"/>
    <w:rsid w:val="002B53EE"/>
    <w:rsid w:val="002B5767"/>
    <w:rsid w:val="002B5E64"/>
    <w:rsid w:val="002B6033"/>
    <w:rsid w:val="002B75E5"/>
    <w:rsid w:val="002C0226"/>
    <w:rsid w:val="002C1116"/>
    <w:rsid w:val="002C226F"/>
    <w:rsid w:val="002C595C"/>
    <w:rsid w:val="002C5E3D"/>
    <w:rsid w:val="002C6EC3"/>
    <w:rsid w:val="002C6F19"/>
    <w:rsid w:val="002D1445"/>
    <w:rsid w:val="002D158A"/>
    <w:rsid w:val="002D4612"/>
    <w:rsid w:val="002D6515"/>
    <w:rsid w:val="002D687D"/>
    <w:rsid w:val="002D6B1D"/>
    <w:rsid w:val="002E0AE6"/>
    <w:rsid w:val="002E20F7"/>
    <w:rsid w:val="002E232F"/>
    <w:rsid w:val="002E2D5C"/>
    <w:rsid w:val="002E7273"/>
    <w:rsid w:val="002F028A"/>
    <w:rsid w:val="002F20D2"/>
    <w:rsid w:val="002F4BBD"/>
    <w:rsid w:val="002F4EB5"/>
    <w:rsid w:val="002F6F39"/>
    <w:rsid w:val="003044E6"/>
    <w:rsid w:val="003058E1"/>
    <w:rsid w:val="003061CB"/>
    <w:rsid w:val="00312D12"/>
    <w:rsid w:val="003138A1"/>
    <w:rsid w:val="00313FB4"/>
    <w:rsid w:val="00320344"/>
    <w:rsid w:val="00321092"/>
    <w:rsid w:val="003218A0"/>
    <w:rsid w:val="003222E0"/>
    <w:rsid w:val="0032262D"/>
    <w:rsid w:val="003268A8"/>
    <w:rsid w:val="00332ECA"/>
    <w:rsid w:val="003368A3"/>
    <w:rsid w:val="0034507B"/>
    <w:rsid w:val="0034542A"/>
    <w:rsid w:val="00345863"/>
    <w:rsid w:val="0034625C"/>
    <w:rsid w:val="00346DC8"/>
    <w:rsid w:val="00351185"/>
    <w:rsid w:val="00355897"/>
    <w:rsid w:val="00356573"/>
    <w:rsid w:val="00360F59"/>
    <w:rsid w:val="003617FE"/>
    <w:rsid w:val="00361AB6"/>
    <w:rsid w:val="003631BC"/>
    <w:rsid w:val="00364184"/>
    <w:rsid w:val="0037200D"/>
    <w:rsid w:val="0037250F"/>
    <w:rsid w:val="00372741"/>
    <w:rsid w:val="003734DB"/>
    <w:rsid w:val="00376D94"/>
    <w:rsid w:val="00377122"/>
    <w:rsid w:val="0037740A"/>
    <w:rsid w:val="0038676C"/>
    <w:rsid w:val="00387963"/>
    <w:rsid w:val="00390820"/>
    <w:rsid w:val="003929DD"/>
    <w:rsid w:val="003942E7"/>
    <w:rsid w:val="00394430"/>
    <w:rsid w:val="00396611"/>
    <w:rsid w:val="00397D20"/>
    <w:rsid w:val="003A02A6"/>
    <w:rsid w:val="003A0EAA"/>
    <w:rsid w:val="003A258A"/>
    <w:rsid w:val="003A2B19"/>
    <w:rsid w:val="003A32A0"/>
    <w:rsid w:val="003A6255"/>
    <w:rsid w:val="003A682C"/>
    <w:rsid w:val="003A7861"/>
    <w:rsid w:val="003A7F09"/>
    <w:rsid w:val="003B0EA9"/>
    <w:rsid w:val="003B182C"/>
    <w:rsid w:val="003B1F9B"/>
    <w:rsid w:val="003B3D34"/>
    <w:rsid w:val="003B4838"/>
    <w:rsid w:val="003B5034"/>
    <w:rsid w:val="003B6169"/>
    <w:rsid w:val="003B6AFF"/>
    <w:rsid w:val="003C0146"/>
    <w:rsid w:val="003C068E"/>
    <w:rsid w:val="003C0919"/>
    <w:rsid w:val="003C2A27"/>
    <w:rsid w:val="003C4B32"/>
    <w:rsid w:val="003C6662"/>
    <w:rsid w:val="003D00BD"/>
    <w:rsid w:val="003D20A7"/>
    <w:rsid w:val="003D2522"/>
    <w:rsid w:val="003D2BEA"/>
    <w:rsid w:val="003E0966"/>
    <w:rsid w:val="003E2061"/>
    <w:rsid w:val="003E4FEE"/>
    <w:rsid w:val="003E734A"/>
    <w:rsid w:val="003F01ED"/>
    <w:rsid w:val="003F0EFD"/>
    <w:rsid w:val="003F28F7"/>
    <w:rsid w:val="003F41B3"/>
    <w:rsid w:val="003F6342"/>
    <w:rsid w:val="003F645C"/>
    <w:rsid w:val="003F688F"/>
    <w:rsid w:val="00400990"/>
    <w:rsid w:val="00402A79"/>
    <w:rsid w:val="00403B83"/>
    <w:rsid w:val="004042AB"/>
    <w:rsid w:val="00406928"/>
    <w:rsid w:val="00407EDF"/>
    <w:rsid w:val="00411046"/>
    <w:rsid w:val="004112EF"/>
    <w:rsid w:val="0041239D"/>
    <w:rsid w:val="00413C35"/>
    <w:rsid w:val="00414BFE"/>
    <w:rsid w:val="004157CC"/>
    <w:rsid w:val="004163D4"/>
    <w:rsid w:val="00417493"/>
    <w:rsid w:val="00423514"/>
    <w:rsid w:val="00423A9F"/>
    <w:rsid w:val="004246ED"/>
    <w:rsid w:val="00425C07"/>
    <w:rsid w:val="00425F66"/>
    <w:rsid w:val="00430787"/>
    <w:rsid w:val="00430FA7"/>
    <w:rsid w:val="00431E6E"/>
    <w:rsid w:val="00432A66"/>
    <w:rsid w:val="00432B5D"/>
    <w:rsid w:val="00433724"/>
    <w:rsid w:val="00441C17"/>
    <w:rsid w:val="00442CAE"/>
    <w:rsid w:val="00443A58"/>
    <w:rsid w:val="00444B4D"/>
    <w:rsid w:val="004465AD"/>
    <w:rsid w:val="004468DC"/>
    <w:rsid w:val="004509C7"/>
    <w:rsid w:val="004561B4"/>
    <w:rsid w:val="00456683"/>
    <w:rsid w:val="004575F0"/>
    <w:rsid w:val="004605F8"/>
    <w:rsid w:val="004613AE"/>
    <w:rsid w:val="00462420"/>
    <w:rsid w:val="00462E3A"/>
    <w:rsid w:val="00463758"/>
    <w:rsid w:val="00466349"/>
    <w:rsid w:val="0046668D"/>
    <w:rsid w:val="00470A92"/>
    <w:rsid w:val="00471007"/>
    <w:rsid w:val="004714DF"/>
    <w:rsid w:val="00472BF3"/>
    <w:rsid w:val="00473E2A"/>
    <w:rsid w:val="00474C5B"/>
    <w:rsid w:val="0047572E"/>
    <w:rsid w:val="00477151"/>
    <w:rsid w:val="00477B76"/>
    <w:rsid w:val="0048167B"/>
    <w:rsid w:val="00481772"/>
    <w:rsid w:val="00483EC5"/>
    <w:rsid w:val="004859CF"/>
    <w:rsid w:val="00486FAC"/>
    <w:rsid w:val="004873E4"/>
    <w:rsid w:val="00487A6B"/>
    <w:rsid w:val="00490A5D"/>
    <w:rsid w:val="004915D2"/>
    <w:rsid w:val="004950DA"/>
    <w:rsid w:val="00496F18"/>
    <w:rsid w:val="004A18EC"/>
    <w:rsid w:val="004A2F2A"/>
    <w:rsid w:val="004A3925"/>
    <w:rsid w:val="004A44B7"/>
    <w:rsid w:val="004A4E10"/>
    <w:rsid w:val="004A515F"/>
    <w:rsid w:val="004A6808"/>
    <w:rsid w:val="004A70EC"/>
    <w:rsid w:val="004A7D3E"/>
    <w:rsid w:val="004B5D0C"/>
    <w:rsid w:val="004B68B6"/>
    <w:rsid w:val="004B79DD"/>
    <w:rsid w:val="004B7ED3"/>
    <w:rsid w:val="004C078A"/>
    <w:rsid w:val="004C1575"/>
    <w:rsid w:val="004C157B"/>
    <w:rsid w:val="004C1C72"/>
    <w:rsid w:val="004C3A47"/>
    <w:rsid w:val="004D1E2A"/>
    <w:rsid w:val="004D39E4"/>
    <w:rsid w:val="004D436E"/>
    <w:rsid w:val="004D4726"/>
    <w:rsid w:val="004D4CCB"/>
    <w:rsid w:val="004D5731"/>
    <w:rsid w:val="004D5D55"/>
    <w:rsid w:val="004D727A"/>
    <w:rsid w:val="004D77DD"/>
    <w:rsid w:val="004D7F4A"/>
    <w:rsid w:val="004E00E1"/>
    <w:rsid w:val="004E04F4"/>
    <w:rsid w:val="004E09E4"/>
    <w:rsid w:val="004E0EC5"/>
    <w:rsid w:val="004E36CD"/>
    <w:rsid w:val="004E3DA2"/>
    <w:rsid w:val="004E448F"/>
    <w:rsid w:val="004E4910"/>
    <w:rsid w:val="004E5A3F"/>
    <w:rsid w:val="004E6CB6"/>
    <w:rsid w:val="004F024E"/>
    <w:rsid w:val="004F0879"/>
    <w:rsid w:val="004F10DB"/>
    <w:rsid w:val="004F1255"/>
    <w:rsid w:val="004F3CEC"/>
    <w:rsid w:val="004F5FDB"/>
    <w:rsid w:val="004F6FE7"/>
    <w:rsid w:val="004F79E3"/>
    <w:rsid w:val="00501C84"/>
    <w:rsid w:val="00501CA7"/>
    <w:rsid w:val="00502D88"/>
    <w:rsid w:val="00510C10"/>
    <w:rsid w:val="0051329B"/>
    <w:rsid w:val="00513337"/>
    <w:rsid w:val="00514A2C"/>
    <w:rsid w:val="00515BF0"/>
    <w:rsid w:val="00521AA0"/>
    <w:rsid w:val="0052233D"/>
    <w:rsid w:val="005228FD"/>
    <w:rsid w:val="00526F2C"/>
    <w:rsid w:val="0052739D"/>
    <w:rsid w:val="00527422"/>
    <w:rsid w:val="00530FBD"/>
    <w:rsid w:val="00531585"/>
    <w:rsid w:val="00535C11"/>
    <w:rsid w:val="00536F76"/>
    <w:rsid w:val="0054026A"/>
    <w:rsid w:val="00541C76"/>
    <w:rsid w:val="00542C59"/>
    <w:rsid w:val="00544971"/>
    <w:rsid w:val="00551544"/>
    <w:rsid w:val="00551CD5"/>
    <w:rsid w:val="00557E5D"/>
    <w:rsid w:val="0056091B"/>
    <w:rsid w:val="005638D0"/>
    <w:rsid w:val="00563BDA"/>
    <w:rsid w:val="00566570"/>
    <w:rsid w:val="00566912"/>
    <w:rsid w:val="00567C57"/>
    <w:rsid w:val="00567E44"/>
    <w:rsid w:val="00571961"/>
    <w:rsid w:val="00576C87"/>
    <w:rsid w:val="00577827"/>
    <w:rsid w:val="0058117F"/>
    <w:rsid w:val="005835C4"/>
    <w:rsid w:val="00584594"/>
    <w:rsid w:val="00586988"/>
    <w:rsid w:val="00586FF2"/>
    <w:rsid w:val="00590FD2"/>
    <w:rsid w:val="00591240"/>
    <w:rsid w:val="00595AAB"/>
    <w:rsid w:val="00595DEB"/>
    <w:rsid w:val="005966BC"/>
    <w:rsid w:val="005A06E3"/>
    <w:rsid w:val="005A26EC"/>
    <w:rsid w:val="005A271E"/>
    <w:rsid w:val="005A2EB4"/>
    <w:rsid w:val="005A46DB"/>
    <w:rsid w:val="005B2BFE"/>
    <w:rsid w:val="005B3A8B"/>
    <w:rsid w:val="005B5628"/>
    <w:rsid w:val="005B5C30"/>
    <w:rsid w:val="005B6CE0"/>
    <w:rsid w:val="005C1650"/>
    <w:rsid w:val="005C5364"/>
    <w:rsid w:val="005C761A"/>
    <w:rsid w:val="005C7A7E"/>
    <w:rsid w:val="005D1191"/>
    <w:rsid w:val="005D15FD"/>
    <w:rsid w:val="005D2152"/>
    <w:rsid w:val="005D2E35"/>
    <w:rsid w:val="005D504F"/>
    <w:rsid w:val="005D620A"/>
    <w:rsid w:val="005E03EE"/>
    <w:rsid w:val="005E2AF1"/>
    <w:rsid w:val="005E4210"/>
    <w:rsid w:val="005E68A2"/>
    <w:rsid w:val="005F0878"/>
    <w:rsid w:val="005F1586"/>
    <w:rsid w:val="005F257F"/>
    <w:rsid w:val="005F2687"/>
    <w:rsid w:val="005F53FB"/>
    <w:rsid w:val="005F5D48"/>
    <w:rsid w:val="005F682F"/>
    <w:rsid w:val="005F7E66"/>
    <w:rsid w:val="00600B25"/>
    <w:rsid w:val="00601CCC"/>
    <w:rsid w:val="00602125"/>
    <w:rsid w:val="006060BF"/>
    <w:rsid w:val="00606120"/>
    <w:rsid w:val="0060717D"/>
    <w:rsid w:val="006114B4"/>
    <w:rsid w:val="00611B17"/>
    <w:rsid w:val="00612742"/>
    <w:rsid w:val="00612DA3"/>
    <w:rsid w:val="006166BE"/>
    <w:rsid w:val="0062035B"/>
    <w:rsid w:val="00621CC6"/>
    <w:rsid w:val="0062229C"/>
    <w:rsid w:val="00622B1B"/>
    <w:rsid w:val="00624E2B"/>
    <w:rsid w:val="00624F83"/>
    <w:rsid w:val="006251AA"/>
    <w:rsid w:val="006279C1"/>
    <w:rsid w:val="006303D6"/>
    <w:rsid w:val="00630D32"/>
    <w:rsid w:val="00631775"/>
    <w:rsid w:val="00635109"/>
    <w:rsid w:val="00636506"/>
    <w:rsid w:val="00636D38"/>
    <w:rsid w:val="00642D8B"/>
    <w:rsid w:val="0064448E"/>
    <w:rsid w:val="00644581"/>
    <w:rsid w:val="00644B11"/>
    <w:rsid w:val="006470CB"/>
    <w:rsid w:val="006478AA"/>
    <w:rsid w:val="00650F05"/>
    <w:rsid w:val="006515B7"/>
    <w:rsid w:val="0065277F"/>
    <w:rsid w:val="006527E8"/>
    <w:rsid w:val="006534A1"/>
    <w:rsid w:val="00656706"/>
    <w:rsid w:val="00656C55"/>
    <w:rsid w:val="006624D2"/>
    <w:rsid w:val="00663189"/>
    <w:rsid w:val="00664A37"/>
    <w:rsid w:val="00665F92"/>
    <w:rsid w:val="00667727"/>
    <w:rsid w:val="00670AAF"/>
    <w:rsid w:val="00671071"/>
    <w:rsid w:val="0067146D"/>
    <w:rsid w:val="00672364"/>
    <w:rsid w:val="00675BF8"/>
    <w:rsid w:val="006800CD"/>
    <w:rsid w:val="00680395"/>
    <w:rsid w:val="006818FE"/>
    <w:rsid w:val="0068279F"/>
    <w:rsid w:val="0068452F"/>
    <w:rsid w:val="00684B33"/>
    <w:rsid w:val="00685D06"/>
    <w:rsid w:val="00691F36"/>
    <w:rsid w:val="006937E9"/>
    <w:rsid w:val="00693BA4"/>
    <w:rsid w:val="00694368"/>
    <w:rsid w:val="00694784"/>
    <w:rsid w:val="0069640E"/>
    <w:rsid w:val="0069677B"/>
    <w:rsid w:val="006A0A01"/>
    <w:rsid w:val="006A0A96"/>
    <w:rsid w:val="006A0FA2"/>
    <w:rsid w:val="006A16A9"/>
    <w:rsid w:val="006A1E2A"/>
    <w:rsid w:val="006A2A63"/>
    <w:rsid w:val="006A3842"/>
    <w:rsid w:val="006A50EE"/>
    <w:rsid w:val="006A58EA"/>
    <w:rsid w:val="006B6173"/>
    <w:rsid w:val="006B6278"/>
    <w:rsid w:val="006C0A03"/>
    <w:rsid w:val="006C165F"/>
    <w:rsid w:val="006C197F"/>
    <w:rsid w:val="006C2132"/>
    <w:rsid w:val="006C29BD"/>
    <w:rsid w:val="006C3D70"/>
    <w:rsid w:val="006C51A8"/>
    <w:rsid w:val="006C6F8E"/>
    <w:rsid w:val="006C7852"/>
    <w:rsid w:val="006D0CC7"/>
    <w:rsid w:val="006D415D"/>
    <w:rsid w:val="006D6491"/>
    <w:rsid w:val="006D7E2C"/>
    <w:rsid w:val="006D7E85"/>
    <w:rsid w:val="006E05B8"/>
    <w:rsid w:val="006E0728"/>
    <w:rsid w:val="006E0847"/>
    <w:rsid w:val="006E3A6D"/>
    <w:rsid w:val="006E4EC5"/>
    <w:rsid w:val="006E5308"/>
    <w:rsid w:val="006E534E"/>
    <w:rsid w:val="006E6C67"/>
    <w:rsid w:val="006F41E0"/>
    <w:rsid w:val="006F5540"/>
    <w:rsid w:val="006F591A"/>
    <w:rsid w:val="006F5E1D"/>
    <w:rsid w:val="006F6E01"/>
    <w:rsid w:val="0070190E"/>
    <w:rsid w:val="00702DCE"/>
    <w:rsid w:val="00703789"/>
    <w:rsid w:val="00704D0A"/>
    <w:rsid w:val="00704F34"/>
    <w:rsid w:val="007053D8"/>
    <w:rsid w:val="00707B21"/>
    <w:rsid w:val="0071029D"/>
    <w:rsid w:val="00711F2F"/>
    <w:rsid w:val="007147BA"/>
    <w:rsid w:val="00715290"/>
    <w:rsid w:val="0071581A"/>
    <w:rsid w:val="007167D0"/>
    <w:rsid w:val="00721004"/>
    <w:rsid w:val="007226DA"/>
    <w:rsid w:val="007229E6"/>
    <w:rsid w:val="00726279"/>
    <w:rsid w:val="00730C3B"/>
    <w:rsid w:val="0073343D"/>
    <w:rsid w:val="0073650B"/>
    <w:rsid w:val="007366D4"/>
    <w:rsid w:val="00736F23"/>
    <w:rsid w:val="00740E0A"/>
    <w:rsid w:val="00742050"/>
    <w:rsid w:val="007449BC"/>
    <w:rsid w:val="00744DED"/>
    <w:rsid w:val="007464A4"/>
    <w:rsid w:val="00747B74"/>
    <w:rsid w:val="00753DA6"/>
    <w:rsid w:val="00755EF1"/>
    <w:rsid w:val="00756005"/>
    <w:rsid w:val="007577CD"/>
    <w:rsid w:val="00757CB8"/>
    <w:rsid w:val="00757E19"/>
    <w:rsid w:val="00760863"/>
    <w:rsid w:val="0076132A"/>
    <w:rsid w:val="0076225F"/>
    <w:rsid w:val="00763E29"/>
    <w:rsid w:val="0076456A"/>
    <w:rsid w:val="00766C93"/>
    <w:rsid w:val="00767028"/>
    <w:rsid w:val="00772A92"/>
    <w:rsid w:val="007733DC"/>
    <w:rsid w:val="00774DDC"/>
    <w:rsid w:val="00775BF2"/>
    <w:rsid w:val="00776434"/>
    <w:rsid w:val="00776B5B"/>
    <w:rsid w:val="00780961"/>
    <w:rsid w:val="007818FA"/>
    <w:rsid w:val="007823D6"/>
    <w:rsid w:val="007836A8"/>
    <w:rsid w:val="007848CB"/>
    <w:rsid w:val="0078515B"/>
    <w:rsid w:val="007872C7"/>
    <w:rsid w:val="007965F6"/>
    <w:rsid w:val="007968DC"/>
    <w:rsid w:val="007A31BC"/>
    <w:rsid w:val="007A5425"/>
    <w:rsid w:val="007A6A52"/>
    <w:rsid w:val="007B0640"/>
    <w:rsid w:val="007B14D2"/>
    <w:rsid w:val="007B2EA0"/>
    <w:rsid w:val="007B4A8C"/>
    <w:rsid w:val="007B4E97"/>
    <w:rsid w:val="007B6135"/>
    <w:rsid w:val="007B7415"/>
    <w:rsid w:val="007B7449"/>
    <w:rsid w:val="007C03FE"/>
    <w:rsid w:val="007C65FF"/>
    <w:rsid w:val="007C72D9"/>
    <w:rsid w:val="007D04CE"/>
    <w:rsid w:val="007D08EE"/>
    <w:rsid w:val="007D30D8"/>
    <w:rsid w:val="007D3509"/>
    <w:rsid w:val="007E1D6A"/>
    <w:rsid w:val="007E2529"/>
    <w:rsid w:val="007E32D9"/>
    <w:rsid w:val="007E3522"/>
    <w:rsid w:val="007E3A4B"/>
    <w:rsid w:val="007E3A92"/>
    <w:rsid w:val="007E4E5B"/>
    <w:rsid w:val="007E6EB1"/>
    <w:rsid w:val="007F0CC9"/>
    <w:rsid w:val="007F16C7"/>
    <w:rsid w:val="007F18F4"/>
    <w:rsid w:val="007F210F"/>
    <w:rsid w:val="007F2B4F"/>
    <w:rsid w:val="007F2FD3"/>
    <w:rsid w:val="007F4260"/>
    <w:rsid w:val="007F554D"/>
    <w:rsid w:val="007F6820"/>
    <w:rsid w:val="0080132D"/>
    <w:rsid w:val="008019D7"/>
    <w:rsid w:val="00801DC5"/>
    <w:rsid w:val="00802FC9"/>
    <w:rsid w:val="00803098"/>
    <w:rsid w:val="00805808"/>
    <w:rsid w:val="00805D51"/>
    <w:rsid w:val="008064E9"/>
    <w:rsid w:val="00806936"/>
    <w:rsid w:val="008069E7"/>
    <w:rsid w:val="00806E1F"/>
    <w:rsid w:val="008076A9"/>
    <w:rsid w:val="00807821"/>
    <w:rsid w:val="00813FE7"/>
    <w:rsid w:val="00814672"/>
    <w:rsid w:val="00814898"/>
    <w:rsid w:val="00815368"/>
    <w:rsid w:val="00816561"/>
    <w:rsid w:val="00822C0A"/>
    <w:rsid w:val="0082522A"/>
    <w:rsid w:val="00826313"/>
    <w:rsid w:val="0082756E"/>
    <w:rsid w:val="008304C7"/>
    <w:rsid w:val="00831AD0"/>
    <w:rsid w:val="0083225B"/>
    <w:rsid w:val="008329CD"/>
    <w:rsid w:val="008332DD"/>
    <w:rsid w:val="0083429F"/>
    <w:rsid w:val="00834507"/>
    <w:rsid w:val="00834775"/>
    <w:rsid w:val="00834CC8"/>
    <w:rsid w:val="0083502E"/>
    <w:rsid w:val="00835A4B"/>
    <w:rsid w:val="00840BCA"/>
    <w:rsid w:val="00842E6C"/>
    <w:rsid w:val="008434CE"/>
    <w:rsid w:val="00843660"/>
    <w:rsid w:val="00844936"/>
    <w:rsid w:val="00844C13"/>
    <w:rsid w:val="00845547"/>
    <w:rsid w:val="008467E9"/>
    <w:rsid w:val="00846CC6"/>
    <w:rsid w:val="008500B2"/>
    <w:rsid w:val="008504B2"/>
    <w:rsid w:val="00855CE6"/>
    <w:rsid w:val="00857091"/>
    <w:rsid w:val="00857930"/>
    <w:rsid w:val="00860932"/>
    <w:rsid w:val="00860F7E"/>
    <w:rsid w:val="00862070"/>
    <w:rsid w:val="0086456B"/>
    <w:rsid w:val="00864D56"/>
    <w:rsid w:val="00866362"/>
    <w:rsid w:val="008667FB"/>
    <w:rsid w:val="00875AD4"/>
    <w:rsid w:val="00880181"/>
    <w:rsid w:val="00882D1E"/>
    <w:rsid w:val="008844F5"/>
    <w:rsid w:val="008874D5"/>
    <w:rsid w:val="0089022B"/>
    <w:rsid w:val="00891FE3"/>
    <w:rsid w:val="00892FF5"/>
    <w:rsid w:val="00893D3D"/>
    <w:rsid w:val="00895762"/>
    <w:rsid w:val="008977F6"/>
    <w:rsid w:val="00897A43"/>
    <w:rsid w:val="008A0FAE"/>
    <w:rsid w:val="008A2416"/>
    <w:rsid w:val="008A2C68"/>
    <w:rsid w:val="008A5BC1"/>
    <w:rsid w:val="008A6145"/>
    <w:rsid w:val="008A62EC"/>
    <w:rsid w:val="008A6A9E"/>
    <w:rsid w:val="008B13AE"/>
    <w:rsid w:val="008B185B"/>
    <w:rsid w:val="008C1EC9"/>
    <w:rsid w:val="008C22B2"/>
    <w:rsid w:val="008C28B1"/>
    <w:rsid w:val="008C3E77"/>
    <w:rsid w:val="008C4B07"/>
    <w:rsid w:val="008C62B1"/>
    <w:rsid w:val="008C7317"/>
    <w:rsid w:val="008D0479"/>
    <w:rsid w:val="008D07B2"/>
    <w:rsid w:val="008D19AD"/>
    <w:rsid w:val="008D3011"/>
    <w:rsid w:val="008D3653"/>
    <w:rsid w:val="008D3763"/>
    <w:rsid w:val="008D3CC4"/>
    <w:rsid w:val="008D4B89"/>
    <w:rsid w:val="008D4D83"/>
    <w:rsid w:val="008D5565"/>
    <w:rsid w:val="008E1C14"/>
    <w:rsid w:val="008E36D3"/>
    <w:rsid w:val="008E48C1"/>
    <w:rsid w:val="008E598C"/>
    <w:rsid w:val="008E6943"/>
    <w:rsid w:val="008E7950"/>
    <w:rsid w:val="008F3548"/>
    <w:rsid w:val="008F7016"/>
    <w:rsid w:val="00901DA4"/>
    <w:rsid w:val="00901DF3"/>
    <w:rsid w:val="00901EF3"/>
    <w:rsid w:val="009028FE"/>
    <w:rsid w:val="0090364C"/>
    <w:rsid w:val="00904776"/>
    <w:rsid w:val="00904E8C"/>
    <w:rsid w:val="00905BA7"/>
    <w:rsid w:val="00907563"/>
    <w:rsid w:val="009108E9"/>
    <w:rsid w:val="009109BF"/>
    <w:rsid w:val="009126D8"/>
    <w:rsid w:val="009142B1"/>
    <w:rsid w:val="00915A17"/>
    <w:rsid w:val="00916203"/>
    <w:rsid w:val="00924D8B"/>
    <w:rsid w:val="00926C3B"/>
    <w:rsid w:val="00927AA6"/>
    <w:rsid w:val="00930DBB"/>
    <w:rsid w:val="009329C4"/>
    <w:rsid w:val="00933436"/>
    <w:rsid w:val="00933753"/>
    <w:rsid w:val="00934735"/>
    <w:rsid w:val="00934E14"/>
    <w:rsid w:val="009365FF"/>
    <w:rsid w:val="009373AD"/>
    <w:rsid w:val="00937564"/>
    <w:rsid w:val="009407C8"/>
    <w:rsid w:val="0094174F"/>
    <w:rsid w:val="00944F51"/>
    <w:rsid w:val="00953B72"/>
    <w:rsid w:val="00954BC2"/>
    <w:rsid w:val="009552B0"/>
    <w:rsid w:val="00955E60"/>
    <w:rsid w:val="00955EED"/>
    <w:rsid w:val="00956E2C"/>
    <w:rsid w:val="00957807"/>
    <w:rsid w:val="009632A6"/>
    <w:rsid w:val="009636F7"/>
    <w:rsid w:val="00963ED8"/>
    <w:rsid w:val="00965FB8"/>
    <w:rsid w:val="00966204"/>
    <w:rsid w:val="00966841"/>
    <w:rsid w:val="00966CB0"/>
    <w:rsid w:val="0096774B"/>
    <w:rsid w:val="009679B0"/>
    <w:rsid w:val="00971AAA"/>
    <w:rsid w:val="00973EA8"/>
    <w:rsid w:val="0097633C"/>
    <w:rsid w:val="00980558"/>
    <w:rsid w:val="00980B64"/>
    <w:rsid w:val="00982DA2"/>
    <w:rsid w:val="009854A7"/>
    <w:rsid w:val="00985562"/>
    <w:rsid w:val="00985999"/>
    <w:rsid w:val="00985B1A"/>
    <w:rsid w:val="00985C18"/>
    <w:rsid w:val="00986852"/>
    <w:rsid w:val="00987FB3"/>
    <w:rsid w:val="00990156"/>
    <w:rsid w:val="00993D04"/>
    <w:rsid w:val="00994E5A"/>
    <w:rsid w:val="00995F49"/>
    <w:rsid w:val="009975B1"/>
    <w:rsid w:val="009A2A3C"/>
    <w:rsid w:val="009A3FB2"/>
    <w:rsid w:val="009A464F"/>
    <w:rsid w:val="009A58F7"/>
    <w:rsid w:val="009B040F"/>
    <w:rsid w:val="009B18EC"/>
    <w:rsid w:val="009B2000"/>
    <w:rsid w:val="009B3C66"/>
    <w:rsid w:val="009B442C"/>
    <w:rsid w:val="009B51BC"/>
    <w:rsid w:val="009B775D"/>
    <w:rsid w:val="009C206D"/>
    <w:rsid w:val="009C5338"/>
    <w:rsid w:val="009C5B67"/>
    <w:rsid w:val="009C5E41"/>
    <w:rsid w:val="009C6726"/>
    <w:rsid w:val="009C775D"/>
    <w:rsid w:val="009D6E77"/>
    <w:rsid w:val="009D77CE"/>
    <w:rsid w:val="009E1910"/>
    <w:rsid w:val="009E239F"/>
    <w:rsid w:val="009E2435"/>
    <w:rsid w:val="009E2862"/>
    <w:rsid w:val="009E3C23"/>
    <w:rsid w:val="009E5461"/>
    <w:rsid w:val="009E559B"/>
    <w:rsid w:val="009E6883"/>
    <w:rsid w:val="009F3144"/>
    <w:rsid w:val="009F3400"/>
    <w:rsid w:val="009F687C"/>
    <w:rsid w:val="00A0272F"/>
    <w:rsid w:val="00A04C4D"/>
    <w:rsid w:val="00A06917"/>
    <w:rsid w:val="00A06976"/>
    <w:rsid w:val="00A06F6A"/>
    <w:rsid w:val="00A07FB7"/>
    <w:rsid w:val="00A102B4"/>
    <w:rsid w:val="00A1037F"/>
    <w:rsid w:val="00A10544"/>
    <w:rsid w:val="00A10FC4"/>
    <w:rsid w:val="00A1423E"/>
    <w:rsid w:val="00A15E3F"/>
    <w:rsid w:val="00A16C04"/>
    <w:rsid w:val="00A17C6E"/>
    <w:rsid w:val="00A203F3"/>
    <w:rsid w:val="00A224EA"/>
    <w:rsid w:val="00A233F6"/>
    <w:rsid w:val="00A23BDE"/>
    <w:rsid w:val="00A258AA"/>
    <w:rsid w:val="00A273EE"/>
    <w:rsid w:val="00A30548"/>
    <w:rsid w:val="00A30685"/>
    <w:rsid w:val="00A31811"/>
    <w:rsid w:val="00A3297F"/>
    <w:rsid w:val="00A32A68"/>
    <w:rsid w:val="00A33BDE"/>
    <w:rsid w:val="00A36155"/>
    <w:rsid w:val="00A369C6"/>
    <w:rsid w:val="00A37651"/>
    <w:rsid w:val="00A418B8"/>
    <w:rsid w:val="00A424F0"/>
    <w:rsid w:val="00A42994"/>
    <w:rsid w:val="00A42EEF"/>
    <w:rsid w:val="00A44100"/>
    <w:rsid w:val="00A4426C"/>
    <w:rsid w:val="00A44574"/>
    <w:rsid w:val="00A51DCF"/>
    <w:rsid w:val="00A5421D"/>
    <w:rsid w:val="00A548F4"/>
    <w:rsid w:val="00A55658"/>
    <w:rsid w:val="00A562E2"/>
    <w:rsid w:val="00A565E0"/>
    <w:rsid w:val="00A575D8"/>
    <w:rsid w:val="00A57F81"/>
    <w:rsid w:val="00A60D78"/>
    <w:rsid w:val="00A61DD2"/>
    <w:rsid w:val="00A6496D"/>
    <w:rsid w:val="00A65A86"/>
    <w:rsid w:val="00A67FFB"/>
    <w:rsid w:val="00A70DB5"/>
    <w:rsid w:val="00A71726"/>
    <w:rsid w:val="00A74238"/>
    <w:rsid w:val="00A752DC"/>
    <w:rsid w:val="00A75516"/>
    <w:rsid w:val="00A77213"/>
    <w:rsid w:val="00A77F1D"/>
    <w:rsid w:val="00A801EA"/>
    <w:rsid w:val="00A80A56"/>
    <w:rsid w:val="00A8131E"/>
    <w:rsid w:val="00A81BF8"/>
    <w:rsid w:val="00A81C19"/>
    <w:rsid w:val="00A81DA4"/>
    <w:rsid w:val="00A8452F"/>
    <w:rsid w:val="00A90B56"/>
    <w:rsid w:val="00A91BC0"/>
    <w:rsid w:val="00A92CEC"/>
    <w:rsid w:val="00A932B2"/>
    <w:rsid w:val="00A93BDF"/>
    <w:rsid w:val="00A93EEC"/>
    <w:rsid w:val="00A9562B"/>
    <w:rsid w:val="00A95BB1"/>
    <w:rsid w:val="00A95C01"/>
    <w:rsid w:val="00A968C3"/>
    <w:rsid w:val="00A97D97"/>
    <w:rsid w:val="00AA02BF"/>
    <w:rsid w:val="00AA2059"/>
    <w:rsid w:val="00AA4B9F"/>
    <w:rsid w:val="00AA5C19"/>
    <w:rsid w:val="00AA623F"/>
    <w:rsid w:val="00AA721F"/>
    <w:rsid w:val="00AB03DC"/>
    <w:rsid w:val="00AB0D47"/>
    <w:rsid w:val="00AB2010"/>
    <w:rsid w:val="00AB2ED5"/>
    <w:rsid w:val="00AB44E7"/>
    <w:rsid w:val="00AB688C"/>
    <w:rsid w:val="00AC2196"/>
    <w:rsid w:val="00AC595C"/>
    <w:rsid w:val="00AC62CF"/>
    <w:rsid w:val="00AC6355"/>
    <w:rsid w:val="00AC7574"/>
    <w:rsid w:val="00AD2039"/>
    <w:rsid w:val="00AD292B"/>
    <w:rsid w:val="00AD3C59"/>
    <w:rsid w:val="00AD4F0C"/>
    <w:rsid w:val="00AD6B99"/>
    <w:rsid w:val="00AD7B38"/>
    <w:rsid w:val="00AE0169"/>
    <w:rsid w:val="00AE1901"/>
    <w:rsid w:val="00AE1BDA"/>
    <w:rsid w:val="00AE5FE1"/>
    <w:rsid w:val="00AE611A"/>
    <w:rsid w:val="00AE6C40"/>
    <w:rsid w:val="00AF1F91"/>
    <w:rsid w:val="00AF3345"/>
    <w:rsid w:val="00AF5405"/>
    <w:rsid w:val="00B011B6"/>
    <w:rsid w:val="00B01BCF"/>
    <w:rsid w:val="00B027D6"/>
    <w:rsid w:val="00B02E5C"/>
    <w:rsid w:val="00B04AEE"/>
    <w:rsid w:val="00B05A36"/>
    <w:rsid w:val="00B100A7"/>
    <w:rsid w:val="00B10D08"/>
    <w:rsid w:val="00B139F3"/>
    <w:rsid w:val="00B13A4E"/>
    <w:rsid w:val="00B1412F"/>
    <w:rsid w:val="00B15756"/>
    <w:rsid w:val="00B162AD"/>
    <w:rsid w:val="00B216AD"/>
    <w:rsid w:val="00B2379A"/>
    <w:rsid w:val="00B2390B"/>
    <w:rsid w:val="00B25FA7"/>
    <w:rsid w:val="00B26258"/>
    <w:rsid w:val="00B33398"/>
    <w:rsid w:val="00B347EF"/>
    <w:rsid w:val="00B36EE5"/>
    <w:rsid w:val="00B42B06"/>
    <w:rsid w:val="00B5370F"/>
    <w:rsid w:val="00B5495B"/>
    <w:rsid w:val="00B54BF7"/>
    <w:rsid w:val="00B5560E"/>
    <w:rsid w:val="00B55F5E"/>
    <w:rsid w:val="00B573BA"/>
    <w:rsid w:val="00B60651"/>
    <w:rsid w:val="00B61AD2"/>
    <w:rsid w:val="00B623CA"/>
    <w:rsid w:val="00B62D5B"/>
    <w:rsid w:val="00B65BB6"/>
    <w:rsid w:val="00B70158"/>
    <w:rsid w:val="00B72016"/>
    <w:rsid w:val="00B725A4"/>
    <w:rsid w:val="00B72BED"/>
    <w:rsid w:val="00B72D54"/>
    <w:rsid w:val="00B750DE"/>
    <w:rsid w:val="00B75885"/>
    <w:rsid w:val="00B75F42"/>
    <w:rsid w:val="00B771F2"/>
    <w:rsid w:val="00B837E6"/>
    <w:rsid w:val="00B838E2"/>
    <w:rsid w:val="00B844B3"/>
    <w:rsid w:val="00B90A51"/>
    <w:rsid w:val="00B90FFD"/>
    <w:rsid w:val="00B96EC8"/>
    <w:rsid w:val="00B97457"/>
    <w:rsid w:val="00BA1EC9"/>
    <w:rsid w:val="00BA68DC"/>
    <w:rsid w:val="00BB12B1"/>
    <w:rsid w:val="00BB1D65"/>
    <w:rsid w:val="00BB449F"/>
    <w:rsid w:val="00BB4B96"/>
    <w:rsid w:val="00BB50DC"/>
    <w:rsid w:val="00BB7A38"/>
    <w:rsid w:val="00BC03BC"/>
    <w:rsid w:val="00BC04B7"/>
    <w:rsid w:val="00BC2598"/>
    <w:rsid w:val="00BC2833"/>
    <w:rsid w:val="00BC6102"/>
    <w:rsid w:val="00BC69A3"/>
    <w:rsid w:val="00BC7B26"/>
    <w:rsid w:val="00BD7904"/>
    <w:rsid w:val="00BE0CFF"/>
    <w:rsid w:val="00BE2F2F"/>
    <w:rsid w:val="00BE2F70"/>
    <w:rsid w:val="00BE3770"/>
    <w:rsid w:val="00BE4F68"/>
    <w:rsid w:val="00BE529B"/>
    <w:rsid w:val="00BE5E22"/>
    <w:rsid w:val="00BE6408"/>
    <w:rsid w:val="00BE6BF0"/>
    <w:rsid w:val="00BE7A29"/>
    <w:rsid w:val="00BF3B3A"/>
    <w:rsid w:val="00BF3C69"/>
    <w:rsid w:val="00BF68AB"/>
    <w:rsid w:val="00BF7E6E"/>
    <w:rsid w:val="00BF7F31"/>
    <w:rsid w:val="00C02109"/>
    <w:rsid w:val="00C026D5"/>
    <w:rsid w:val="00C05197"/>
    <w:rsid w:val="00C12A77"/>
    <w:rsid w:val="00C12B0A"/>
    <w:rsid w:val="00C12F96"/>
    <w:rsid w:val="00C17267"/>
    <w:rsid w:val="00C20D43"/>
    <w:rsid w:val="00C227C4"/>
    <w:rsid w:val="00C2296E"/>
    <w:rsid w:val="00C24B4A"/>
    <w:rsid w:val="00C26877"/>
    <w:rsid w:val="00C2720B"/>
    <w:rsid w:val="00C2791F"/>
    <w:rsid w:val="00C3096E"/>
    <w:rsid w:val="00C32514"/>
    <w:rsid w:val="00C32950"/>
    <w:rsid w:val="00C333AE"/>
    <w:rsid w:val="00C356B3"/>
    <w:rsid w:val="00C37087"/>
    <w:rsid w:val="00C37A72"/>
    <w:rsid w:val="00C42E30"/>
    <w:rsid w:val="00C45260"/>
    <w:rsid w:val="00C46B8F"/>
    <w:rsid w:val="00C47DDD"/>
    <w:rsid w:val="00C47F7B"/>
    <w:rsid w:val="00C50E89"/>
    <w:rsid w:val="00C52EE7"/>
    <w:rsid w:val="00C531B8"/>
    <w:rsid w:val="00C55006"/>
    <w:rsid w:val="00C55AC8"/>
    <w:rsid w:val="00C56879"/>
    <w:rsid w:val="00C56886"/>
    <w:rsid w:val="00C5791A"/>
    <w:rsid w:val="00C61BCA"/>
    <w:rsid w:val="00C63428"/>
    <w:rsid w:val="00C6695F"/>
    <w:rsid w:val="00C671A8"/>
    <w:rsid w:val="00C70559"/>
    <w:rsid w:val="00C70A56"/>
    <w:rsid w:val="00C7213A"/>
    <w:rsid w:val="00C72FC3"/>
    <w:rsid w:val="00C74FFD"/>
    <w:rsid w:val="00C75040"/>
    <w:rsid w:val="00C810EB"/>
    <w:rsid w:val="00C81880"/>
    <w:rsid w:val="00C82080"/>
    <w:rsid w:val="00C82FA2"/>
    <w:rsid w:val="00C853C6"/>
    <w:rsid w:val="00C86197"/>
    <w:rsid w:val="00C87FAF"/>
    <w:rsid w:val="00C903FE"/>
    <w:rsid w:val="00C9191A"/>
    <w:rsid w:val="00C931CF"/>
    <w:rsid w:val="00CA0F74"/>
    <w:rsid w:val="00CA37F3"/>
    <w:rsid w:val="00CA5270"/>
    <w:rsid w:val="00CA5A05"/>
    <w:rsid w:val="00CC49EF"/>
    <w:rsid w:val="00CD3108"/>
    <w:rsid w:val="00CD4347"/>
    <w:rsid w:val="00CD6972"/>
    <w:rsid w:val="00CD6D68"/>
    <w:rsid w:val="00CD6E62"/>
    <w:rsid w:val="00CE0D3A"/>
    <w:rsid w:val="00CE513B"/>
    <w:rsid w:val="00CE70DC"/>
    <w:rsid w:val="00CF0CF4"/>
    <w:rsid w:val="00CF0E3B"/>
    <w:rsid w:val="00CF2404"/>
    <w:rsid w:val="00CF2C86"/>
    <w:rsid w:val="00CF5F44"/>
    <w:rsid w:val="00CF721F"/>
    <w:rsid w:val="00D02411"/>
    <w:rsid w:val="00D02421"/>
    <w:rsid w:val="00D02521"/>
    <w:rsid w:val="00D02646"/>
    <w:rsid w:val="00D04E3F"/>
    <w:rsid w:val="00D155F6"/>
    <w:rsid w:val="00D17276"/>
    <w:rsid w:val="00D17B34"/>
    <w:rsid w:val="00D222CE"/>
    <w:rsid w:val="00D22746"/>
    <w:rsid w:val="00D22881"/>
    <w:rsid w:val="00D22D8F"/>
    <w:rsid w:val="00D2325D"/>
    <w:rsid w:val="00D2483C"/>
    <w:rsid w:val="00D30191"/>
    <w:rsid w:val="00D32117"/>
    <w:rsid w:val="00D33924"/>
    <w:rsid w:val="00D357FE"/>
    <w:rsid w:val="00D46F0D"/>
    <w:rsid w:val="00D47B34"/>
    <w:rsid w:val="00D50BEE"/>
    <w:rsid w:val="00D512EF"/>
    <w:rsid w:val="00D521E0"/>
    <w:rsid w:val="00D52D10"/>
    <w:rsid w:val="00D53B5F"/>
    <w:rsid w:val="00D54A22"/>
    <w:rsid w:val="00D604B9"/>
    <w:rsid w:val="00D60936"/>
    <w:rsid w:val="00D60AC6"/>
    <w:rsid w:val="00D66BBE"/>
    <w:rsid w:val="00D674A2"/>
    <w:rsid w:val="00D72889"/>
    <w:rsid w:val="00D72999"/>
    <w:rsid w:val="00D730E2"/>
    <w:rsid w:val="00D751C2"/>
    <w:rsid w:val="00D7612F"/>
    <w:rsid w:val="00D7713F"/>
    <w:rsid w:val="00D82434"/>
    <w:rsid w:val="00D82861"/>
    <w:rsid w:val="00D836E8"/>
    <w:rsid w:val="00D8435D"/>
    <w:rsid w:val="00D84641"/>
    <w:rsid w:val="00D85608"/>
    <w:rsid w:val="00D87CC6"/>
    <w:rsid w:val="00D9014D"/>
    <w:rsid w:val="00D90E00"/>
    <w:rsid w:val="00D91D82"/>
    <w:rsid w:val="00D92154"/>
    <w:rsid w:val="00D944D8"/>
    <w:rsid w:val="00DA053A"/>
    <w:rsid w:val="00DA409C"/>
    <w:rsid w:val="00DA4DF4"/>
    <w:rsid w:val="00DA75CF"/>
    <w:rsid w:val="00DB2250"/>
    <w:rsid w:val="00DB6D3C"/>
    <w:rsid w:val="00DC1462"/>
    <w:rsid w:val="00DC23FB"/>
    <w:rsid w:val="00DC5714"/>
    <w:rsid w:val="00DC642A"/>
    <w:rsid w:val="00DC6DA8"/>
    <w:rsid w:val="00DD2FE7"/>
    <w:rsid w:val="00DD4886"/>
    <w:rsid w:val="00DD68C7"/>
    <w:rsid w:val="00DD74A6"/>
    <w:rsid w:val="00DD7A63"/>
    <w:rsid w:val="00DE03A6"/>
    <w:rsid w:val="00DE3C02"/>
    <w:rsid w:val="00DE3C42"/>
    <w:rsid w:val="00DE4F8B"/>
    <w:rsid w:val="00DE756B"/>
    <w:rsid w:val="00DF048C"/>
    <w:rsid w:val="00DF1324"/>
    <w:rsid w:val="00DF2006"/>
    <w:rsid w:val="00DF2FC1"/>
    <w:rsid w:val="00DF3D93"/>
    <w:rsid w:val="00DF6358"/>
    <w:rsid w:val="00DF6FC8"/>
    <w:rsid w:val="00DF79C1"/>
    <w:rsid w:val="00E04446"/>
    <w:rsid w:val="00E10254"/>
    <w:rsid w:val="00E106C1"/>
    <w:rsid w:val="00E107C9"/>
    <w:rsid w:val="00E11CCA"/>
    <w:rsid w:val="00E1529A"/>
    <w:rsid w:val="00E15F9D"/>
    <w:rsid w:val="00E16AAD"/>
    <w:rsid w:val="00E1757D"/>
    <w:rsid w:val="00E22CE3"/>
    <w:rsid w:val="00E243D6"/>
    <w:rsid w:val="00E300A7"/>
    <w:rsid w:val="00E3211E"/>
    <w:rsid w:val="00E32632"/>
    <w:rsid w:val="00E34AAB"/>
    <w:rsid w:val="00E3697D"/>
    <w:rsid w:val="00E37530"/>
    <w:rsid w:val="00E435FA"/>
    <w:rsid w:val="00E46B1A"/>
    <w:rsid w:val="00E5015F"/>
    <w:rsid w:val="00E51287"/>
    <w:rsid w:val="00E52682"/>
    <w:rsid w:val="00E55DB8"/>
    <w:rsid w:val="00E562F3"/>
    <w:rsid w:val="00E5725D"/>
    <w:rsid w:val="00E609AD"/>
    <w:rsid w:val="00E60A28"/>
    <w:rsid w:val="00E6142A"/>
    <w:rsid w:val="00E6187E"/>
    <w:rsid w:val="00E64B7E"/>
    <w:rsid w:val="00E677D0"/>
    <w:rsid w:val="00E716C6"/>
    <w:rsid w:val="00E7269B"/>
    <w:rsid w:val="00E77196"/>
    <w:rsid w:val="00E771C3"/>
    <w:rsid w:val="00E81441"/>
    <w:rsid w:val="00E83160"/>
    <w:rsid w:val="00E84195"/>
    <w:rsid w:val="00E84842"/>
    <w:rsid w:val="00E85264"/>
    <w:rsid w:val="00E87DB0"/>
    <w:rsid w:val="00E90D94"/>
    <w:rsid w:val="00E90F1F"/>
    <w:rsid w:val="00E94490"/>
    <w:rsid w:val="00E944A8"/>
    <w:rsid w:val="00E95BDD"/>
    <w:rsid w:val="00E96F05"/>
    <w:rsid w:val="00E96FAF"/>
    <w:rsid w:val="00E9767B"/>
    <w:rsid w:val="00EA156E"/>
    <w:rsid w:val="00EA15FE"/>
    <w:rsid w:val="00EA2055"/>
    <w:rsid w:val="00EA2F2F"/>
    <w:rsid w:val="00EA3E65"/>
    <w:rsid w:val="00EA40F7"/>
    <w:rsid w:val="00EA4496"/>
    <w:rsid w:val="00EA5A9C"/>
    <w:rsid w:val="00EA694F"/>
    <w:rsid w:val="00EA7712"/>
    <w:rsid w:val="00EB0721"/>
    <w:rsid w:val="00EB1900"/>
    <w:rsid w:val="00EB559B"/>
    <w:rsid w:val="00EB6390"/>
    <w:rsid w:val="00EB72E2"/>
    <w:rsid w:val="00EB7306"/>
    <w:rsid w:val="00EC0BF2"/>
    <w:rsid w:val="00EC1017"/>
    <w:rsid w:val="00EC10C3"/>
    <w:rsid w:val="00EC238E"/>
    <w:rsid w:val="00EC3D74"/>
    <w:rsid w:val="00EC454A"/>
    <w:rsid w:val="00EC45A4"/>
    <w:rsid w:val="00EC4B66"/>
    <w:rsid w:val="00EC6122"/>
    <w:rsid w:val="00EC7423"/>
    <w:rsid w:val="00EC7AFA"/>
    <w:rsid w:val="00ED52E0"/>
    <w:rsid w:val="00ED69AA"/>
    <w:rsid w:val="00ED7422"/>
    <w:rsid w:val="00ED7658"/>
    <w:rsid w:val="00ED7EBD"/>
    <w:rsid w:val="00EE0E90"/>
    <w:rsid w:val="00EE17B4"/>
    <w:rsid w:val="00EE2E6E"/>
    <w:rsid w:val="00EE3FFF"/>
    <w:rsid w:val="00EE41B3"/>
    <w:rsid w:val="00EE42A4"/>
    <w:rsid w:val="00EE5B91"/>
    <w:rsid w:val="00EE60B6"/>
    <w:rsid w:val="00EF14E3"/>
    <w:rsid w:val="00EF1C34"/>
    <w:rsid w:val="00EF1F61"/>
    <w:rsid w:val="00EF2F34"/>
    <w:rsid w:val="00EF4443"/>
    <w:rsid w:val="00EF580B"/>
    <w:rsid w:val="00EF6C8C"/>
    <w:rsid w:val="00F006F9"/>
    <w:rsid w:val="00F04387"/>
    <w:rsid w:val="00F04531"/>
    <w:rsid w:val="00F102BF"/>
    <w:rsid w:val="00F10716"/>
    <w:rsid w:val="00F1184B"/>
    <w:rsid w:val="00F125F7"/>
    <w:rsid w:val="00F13B15"/>
    <w:rsid w:val="00F15A5D"/>
    <w:rsid w:val="00F2066B"/>
    <w:rsid w:val="00F2101E"/>
    <w:rsid w:val="00F222C6"/>
    <w:rsid w:val="00F228DB"/>
    <w:rsid w:val="00F235D0"/>
    <w:rsid w:val="00F249E9"/>
    <w:rsid w:val="00F31657"/>
    <w:rsid w:val="00F31C04"/>
    <w:rsid w:val="00F323FF"/>
    <w:rsid w:val="00F33367"/>
    <w:rsid w:val="00F336BF"/>
    <w:rsid w:val="00F34E5F"/>
    <w:rsid w:val="00F354CB"/>
    <w:rsid w:val="00F47A3B"/>
    <w:rsid w:val="00F51AE8"/>
    <w:rsid w:val="00F51EBA"/>
    <w:rsid w:val="00F55EC1"/>
    <w:rsid w:val="00F608A8"/>
    <w:rsid w:val="00F60A40"/>
    <w:rsid w:val="00F62B42"/>
    <w:rsid w:val="00F645A5"/>
    <w:rsid w:val="00F65953"/>
    <w:rsid w:val="00F662FA"/>
    <w:rsid w:val="00F6737F"/>
    <w:rsid w:val="00F7263F"/>
    <w:rsid w:val="00F73099"/>
    <w:rsid w:val="00F77D2F"/>
    <w:rsid w:val="00F832E4"/>
    <w:rsid w:val="00F84A99"/>
    <w:rsid w:val="00F8522A"/>
    <w:rsid w:val="00F85AAF"/>
    <w:rsid w:val="00F87B4C"/>
    <w:rsid w:val="00F90A61"/>
    <w:rsid w:val="00F92C11"/>
    <w:rsid w:val="00F95DEA"/>
    <w:rsid w:val="00F96F19"/>
    <w:rsid w:val="00FA0D31"/>
    <w:rsid w:val="00FA11AA"/>
    <w:rsid w:val="00FA5100"/>
    <w:rsid w:val="00FA6486"/>
    <w:rsid w:val="00FB074D"/>
    <w:rsid w:val="00FB0FE4"/>
    <w:rsid w:val="00FB26D3"/>
    <w:rsid w:val="00FB3120"/>
    <w:rsid w:val="00FB5301"/>
    <w:rsid w:val="00FB6248"/>
    <w:rsid w:val="00FB6339"/>
    <w:rsid w:val="00FB6900"/>
    <w:rsid w:val="00FB6F48"/>
    <w:rsid w:val="00FB7C92"/>
    <w:rsid w:val="00FC08B7"/>
    <w:rsid w:val="00FC11F7"/>
    <w:rsid w:val="00FC13FE"/>
    <w:rsid w:val="00FC4123"/>
    <w:rsid w:val="00FC4A04"/>
    <w:rsid w:val="00FC4E7A"/>
    <w:rsid w:val="00FC4F14"/>
    <w:rsid w:val="00FC6920"/>
    <w:rsid w:val="00FD0843"/>
    <w:rsid w:val="00FD5061"/>
    <w:rsid w:val="00FD779D"/>
    <w:rsid w:val="00FD7C06"/>
    <w:rsid w:val="00FE027A"/>
    <w:rsid w:val="00FE1AC6"/>
    <w:rsid w:val="00FE60B9"/>
    <w:rsid w:val="00FE6E62"/>
    <w:rsid w:val="00FF2B6F"/>
    <w:rsid w:val="00FF490D"/>
    <w:rsid w:val="02067F16"/>
    <w:rsid w:val="02196D12"/>
    <w:rsid w:val="022A615D"/>
    <w:rsid w:val="02CE535A"/>
    <w:rsid w:val="02FD57C5"/>
    <w:rsid w:val="030C7A85"/>
    <w:rsid w:val="03160F0E"/>
    <w:rsid w:val="034C369D"/>
    <w:rsid w:val="03EF4625"/>
    <w:rsid w:val="04282CCD"/>
    <w:rsid w:val="045969E4"/>
    <w:rsid w:val="04A62457"/>
    <w:rsid w:val="051D6B17"/>
    <w:rsid w:val="052F0E1C"/>
    <w:rsid w:val="063338D8"/>
    <w:rsid w:val="084F466E"/>
    <w:rsid w:val="09CB45D3"/>
    <w:rsid w:val="0A152D7A"/>
    <w:rsid w:val="0ABB697E"/>
    <w:rsid w:val="0ADD2D17"/>
    <w:rsid w:val="0B6071A1"/>
    <w:rsid w:val="0B970D8B"/>
    <w:rsid w:val="0C564333"/>
    <w:rsid w:val="0D582F5E"/>
    <w:rsid w:val="0EFD5904"/>
    <w:rsid w:val="0F1E2A90"/>
    <w:rsid w:val="0FB811D1"/>
    <w:rsid w:val="101112E0"/>
    <w:rsid w:val="101E668B"/>
    <w:rsid w:val="10C76D30"/>
    <w:rsid w:val="112D377D"/>
    <w:rsid w:val="13117BDD"/>
    <w:rsid w:val="134835BD"/>
    <w:rsid w:val="13642F4C"/>
    <w:rsid w:val="137B4416"/>
    <w:rsid w:val="139C3DCA"/>
    <w:rsid w:val="144F6B36"/>
    <w:rsid w:val="1474746B"/>
    <w:rsid w:val="150B0CAB"/>
    <w:rsid w:val="15552655"/>
    <w:rsid w:val="15AA2354"/>
    <w:rsid w:val="172D7D3A"/>
    <w:rsid w:val="179B713B"/>
    <w:rsid w:val="18515724"/>
    <w:rsid w:val="18990D25"/>
    <w:rsid w:val="18A320C7"/>
    <w:rsid w:val="1924574E"/>
    <w:rsid w:val="199063AA"/>
    <w:rsid w:val="1A4D7D2B"/>
    <w:rsid w:val="1AA358DF"/>
    <w:rsid w:val="1ACB7467"/>
    <w:rsid w:val="1BC97AEC"/>
    <w:rsid w:val="1C116762"/>
    <w:rsid w:val="1C251A42"/>
    <w:rsid w:val="1C63087C"/>
    <w:rsid w:val="1C6C0CD4"/>
    <w:rsid w:val="1CD1348F"/>
    <w:rsid w:val="1CDF6390"/>
    <w:rsid w:val="1F911567"/>
    <w:rsid w:val="204F0EED"/>
    <w:rsid w:val="20660896"/>
    <w:rsid w:val="21977576"/>
    <w:rsid w:val="22D66F81"/>
    <w:rsid w:val="232C46CD"/>
    <w:rsid w:val="23BF1E70"/>
    <w:rsid w:val="24C246E8"/>
    <w:rsid w:val="26CF24D6"/>
    <w:rsid w:val="277410F3"/>
    <w:rsid w:val="28042418"/>
    <w:rsid w:val="296429AB"/>
    <w:rsid w:val="29CC027A"/>
    <w:rsid w:val="2D9A4C35"/>
    <w:rsid w:val="2DA9102B"/>
    <w:rsid w:val="2E19347B"/>
    <w:rsid w:val="2F0A6C71"/>
    <w:rsid w:val="2F22008F"/>
    <w:rsid w:val="2FC14F8D"/>
    <w:rsid w:val="3072353E"/>
    <w:rsid w:val="30D54ED0"/>
    <w:rsid w:val="313A187C"/>
    <w:rsid w:val="313F37B2"/>
    <w:rsid w:val="314750FA"/>
    <w:rsid w:val="31C53865"/>
    <w:rsid w:val="320955B3"/>
    <w:rsid w:val="328F45B5"/>
    <w:rsid w:val="32D6528B"/>
    <w:rsid w:val="33F62B9D"/>
    <w:rsid w:val="3426713C"/>
    <w:rsid w:val="354A2DA8"/>
    <w:rsid w:val="35A43D1C"/>
    <w:rsid w:val="36B10279"/>
    <w:rsid w:val="376D324E"/>
    <w:rsid w:val="37F42DEF"/>
    <w:rsid w:val="385C399C"/>
    <w:rsid w:val="399E0A34"/>
    <w:rsid w:val="39BE39F8"/>
    <w:rsid w:val="3AE52421"/>
    <w:rsid w:val="3B970130"/>
    <w:rsid w:val="3C067AA3"/>
    <w:rsid w:val="3CB252F6"/>
    <w:rsid w:val="3D094BC5"/>
    <w:rsid w:val="3D7912B3"/>
    <w:rsid w:val="3D991A0D"/>
    <w:rsid w:val="3E3D29BF"/>
    <w:rsid w:val="3EF75ACB"/>
    <w:rsid w:val="3FA8798B"/>
    <w:rsid w:val="412B0BAE"/>
    <w:rsid w:val="41EE4095"/>
    <w:rsid w:val="42825217"/>
    <w:rsid w:val="42BB2916"/>
    <w:rsid w:val="43001642"/>
    <w:rsid w:val="44C61422"/>
    <w:rsid w:val="44D3225F"/>
    <w:rsid w:val="459D5526"/>
    <w:rsid w:val="465E4484"/>
    <w:rsid w:val="46FE3ADA"/>
    <w:rsid w:val="47297302"/>
    <w:rsid w:val="474521BF"/>
    <w:rsid w:val="47C6488A"/>
    <w:rsid w:val="48B722F7"/>
    <w:rsid w:val="4B224BFE"/>
    <w:rsid w:val="4B407210"/>
    <w:rsid w:val="4B564A1D"/>
    <w:rsid w:val="4B926F31"/>
    <w:rsid w:val="4BDD6276"/>
    <w:rsid w:val="4BE816CB"/>
    <w:rsid w:val="4C3F485A"/>
    <w:rsid w:val="4C840431"/>
    <w:rsid w:val="4CEC28DA"/>
    <w:rsid w:val="4D0623A7"/>
    <w:rsid w:val="4D6B42CE"/>
    <w:rsid w:val="4EC2718A"/>
    <w:rsid w:val="4F016FE8"/>
    <w:rsid w:val="4F761F2F"/>
    <w:rsid w:val="4FE977F3"/>
    <w:rsid w:val="50100A4F"/>
    <w:rsid w:val="50812200"/>
    <w:rsid w:val="51633C9F"/>
    <w:rsid w:val="51AD3371"/>
    <w:rsid w:val="51E01340"/>
    <w:rsid w:val="52044C17"/>
    <w:rsid w:val="56B43337"/>
    <w:rsid w:val="57E02C9B"/>
    <w:rsid w:val="57E523E9"/>
    <w:rsid w:val="585306B5"/>
    <w:rsid w:val="589D19AA"/>
    <w:rsid w:val="5A3F350D"/>
    <w:rsid w:val="5A482CCC"/>
    <w:rsid w:val="5B385F8B"/>
    <w:rsid w:val="5B51038A"/>
    <w:rsid w:val="5BDA5E44"/>
    <w:rsid w:val="5CFA4BC2"/>
    <w:rsid w:val="5DB9089C"/>
    <w:rsid w:val="5DF520C2"/>
    <w:rsid w:val="5EF55135"/>
    <w:rsid w:val="5F1A3127"/>
    <w:rsid w:val="5FB25C1C"/>
    <w:rsid w:val="60A54470"/>
    <w:rsid w:val="613B46C7"/>
    <w:rsid w:val="617E2157"/>
    <w:rsid w:val="624D29D1"/>
    <w:rsid w:val="62604B68"/>
    <w:rsid w:val="62845801"/>
    <w:rsid w:val="62E85A07"/>
    <w:rsid w:val="63710499"/>
    <w:rsid w:val="63D11E06"/>
    <w:rsid w:val="64451309"/>
    <w:rsid w:val="64711318"/>
    <w:rsid w:val="66216BAA"/>
    <w:rsid w:val="671A6C08"/>
    <w:rsid w:val="694E48BD"/>
    <w:rsid w:val="697D1A7D"/>
    <w:rsid w:val="6A720488"/>
    <w:rsid w:val="6AF656A4"/>
    <w:rsid w:val="6B7F2081"/>
    <w:rsid w:val="6C2D635C"/>
    <w:rsid w:val="6C414CFD"/>
    <w:rsid w:val="6C4216D9"/>
    <w:rsid w:val="6C4954D0"/>
    <w:rsid w:val="6C744C61"/>
    <w:rsid w:val="6CA85403"/>
    <w:rsid w:val="6D0355EA"/>
    <w:rsid w:val="6D143E82"/>
    <w:rsid w:val="6D70326A"/>
    <w:rsid w:val="6E822F7B"/>
    <w:rsid w:val="6ED60E98"/>
    <w:rsid w:val="703F20CA"/>
    <w:rsid w:val="70B10CCF"/>
    <w:rsid w:val="714A390B"/>
    <w:rsid w:val="716E013F"/>
    <w:rsid w:val="73441A92"/>
    <w:rsid w:val="739158E7"/>
    <w:rsid w:val="73DA14A8"/>
    <w:rsid w:val="74235CB4"/>
    <w:rsid w:val="74EC0C73"/>
    <w:rsid w:val="750258B8"/>
    <w:rsid w:val="756D2D56"/>
    <w:rsid w:val="75E47E88"/>
    <w:rsid w:val="75E92F0D"/>
    <w:rsid w:val="7659743F"/>
    <w:rsid w:val="76867BCD"/>
    <w:rsid w:val="76AD42B9"/>
    <w:rsid w:val="78142678"/>
    <w:rsid w:val="78613435"/>
    <w:rsid w:val="792D7A0C"/>
    <w:rsid w:val="7B133067"/>
    <w:rsid w:val="7B226346"/>
    <w:rsid w:val="7B25755F"/>
    <w:rsid w:val="7B3604B8"/>
    <w:rsid w:val="7BA932A3"/>
    <w:rsid w:val="7BFB77AD"/>
    <w:rsid w:val="7CCE46D1"/>
    <w:rsid w:val="7D5B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仿宋_GB2312" w:eastAsia="仿宋_GB2312"/>
      <w:b/>
      <w:sz w:val="32"/>
      <w:szCs w:val="20"/>
    </w:rPr>
  </w:style>
  <w:style w:type="paragraph" w:styleId="5">
    <w:name w:val="heading 2"/>
    <w:basedOn w:val="1"/>
    <w:next w:val="1"/>
    <w:qFormat/>
    <w:uiPriority w:val="0"/>
    <w:pPr>
      <w:keepNext/>
      <w:keepLines/>
      <w:spacing w:before="260" w:after="260" w:line="415" w:lineRule="auto"/>
      <w:jc w:val="center"/>
      <w:outlineLvl w:val="1"/>
    </w:pPr>
    <w:rPr>
      <w:rFonts w:ascii="Arial" w:hAnsi="宋体" w:eastAsia="黑体"/>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6"/>
    <w:basedOn w:val="1"/>
    <w:next w:val="1"/>
    <w:qFormat/>
    <w:uiPriority w:val="0"/>
    <w:pPr>
      <w:keepNext/>
      <w:keepLines/>
      <w:numPr>
        <w:ilvl w:val="5"/>
        <w:numId w:val="2"/>
      </w:numPr>
      <w:adjustRightInd w:val="0"/>
      <w:spacing w:before="240" w:after="64" w:line="320" w:lineRule="auto"/>
      <w:textAlignment w:val="baseline"/>
      <w:outlineLvl w:val="5"/>
    </w:pPr>
    <w:rPr>
      <w:rFonts w:ascii="Arial" w:hAnsi="Arial" w:eastAsia="黑体"/>
      <w:b/>
      <w:szCs w:val="20"/>
    </w:rPr>
  </w:style>
  <w:style w:type="paragraph" w:styleId="9">
    <w:name w:val="heading 7"/>
    <w:basedOn w:val="1"/>
    <w:next w:val="1"/>
    <w:qFormat/>
    <w:uiPriority w:val="0"/>
    <w:pPr>
      <w:keepNext/>
      <w:keepLines/>
      <w:numPr>
        <w:ilvl w:val="6"/>
        <w:numId w:val="2"/>
      </w:numPr>
      <w:adjustRightInd w:val="0"/>
      <w:spacing w:before="240" w:after="64" w:line="320" w:lineRule="auto"/>
      <w:textAlignment w:val="baseline"/>
      <w:outlineLvl w:val="6"/>
    </w:pPr>
    <w:rPr>
      <w:rFonts w:ascii="Arial" w:hAnsi="Arial"/>
      <w:b/>
      <w:szCs w:val="20"/>
    </w:rPr>
  </w:style>
  <w:style w:type="paragraph" w:styleId="10">
    <w:name w:val="heading 8"/>
    <w:basedOn w:val="1"/>
    <w:next w:val="1"/>
    <w:qFormat/>
    <w:uiPriority w:val="0"/>
    <w:pPr>
      <w:keepNext/>
      <w:keepLines/>
      <w:numPr>
        <w:ilvl w:val="7"/>
        <w:numId w:val="2"/>
      </w:numPr>
      <w:adjustRightInd w:val="0"/>
      <w:spacing w:before="240" w:after="64" w:line="320" w:lineRule="auto"/>
      <w:textAlignment w:val="baseline"/>
      <w:outlineLvl w:val="7"/>
    </w:pPr>
    <w:rPr>
      <w:rFonts w:ascii="Arial" w:hAnsi="Arial" w:eastAsia="黑体"/>
      <w:szCs w:val="20"/>
    </w:rPr>
  </w:style>
  <w:style w:type="paragraph" w:styleId="11">
    <w:name w:val="heading 9"/>
    <w:basedOn w:val="1"/>
    <w:next w:val="1"/>
    <w:qFormat/>
    <w:uiPriority w:val="0"/>
    <w:pPr>
      <w:keepNext/>
      <w:keepLines/>
      <w:numPr>
        <w:ilvl w:val="8"/>
        <w:numId w:val="2"/>
      </w:numPr>
      <w:adjustRightInd w:val="0"/>
      <w:spacing w:before="240" w:after="64" w:line="320" w:lineRule="auto"/>
      <w:textAlignment w:val="baseline"/>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macro"/>
    <w:semiHidden/>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eastAsia="宋体" w:cs="Times New Roman"/>
      <w:lang w:val="en-US" w:eastAsia="zh-CN" w:bidi="ar-SA"/>
    </w:rPr>
  </w:style>
  <w:style w:type="paragraph" w:styleId="12">
    <w:name w:val="List 3"/>
    <w:basedOn w:val="1"/>
    <w:qFormat/>
    <w:uiPriority w:val="0"/>
    <w:pPr>
      <w:ind w:left="100" w:leftChars="400" w:hanging="200" w:hangingChars="200"/>
    </w:pPr>
    <w:rPr>
      <w:szCs w:val="20"/>
    </w:rPr>
  </w:style>
  <w:style w:type="paragraph" w:styleId="13">
    <w:name w:val="toc 7"/>
    <w:basedOn w:val="1"/>
    <w:next w:val="1"/>
    <w:semiHidden/>
    <w:qFormat/>
    <w:uiPriority w:val="0"/>
    <w:pPr>
      <w:ind w:left="2520" w:leftChars="1200"/>
    </w:pPr>
  </w:style>
  <w:style w:type="paragraph" w:styleId="14">
    <w:name w:val="Normal Indent"/>
    <w:basedOn w:val="1"/>
    <w:qFormat/>
    <w:uiPriority w:val="0"/>
    <w:pPr>
      <w:ind w:firstLine="420"/>
    </w:pPr>
    <w:rPr>
      <w:szCs w:val="20"/>
    </w:rPr>
  </w:style>
  <w:style w:type="paragraph" w:styleId="15">
    <w:name w:val="caption"/>
    <w:basedOn w:val="1"/>
    <w:next w:val="1"/>
    <w:qFormat/>
    <w:uiPriority w:val="0"/>
    <w:pPr>
      <w:spacing w:before="152" w:after="160"/>
    </w:pPr>
    <w:rPr>
      <w:rFonts w:ascii="Arial" w:hAnsi="Arial" w:eastAsia="黑体"/>
      <w:sz w:val="20"/>
      <w:szCs w:val="20"/>
    </w:rPr>
  </w:style>
  <w:style w:type="paragraph" w:styleId="16">
    <w:name w:val="Document Map"/>
    <w:basedOn w:val="1"/>
    <w:semiHidden/>
    <w:qFormat/>
    <w:uiPriority w:val="0"/>
    <w:pPr>
      <w:shd w:val="clear" w:color="auto" w:fill="000080"/>
    </w:pPr>
  </w:style>
  <w:style w:type="paragraph" w:styleId="17">
    <w:name w:val="toa heading"/>
    <w:basedOn w:val="1"/>
    <w:next w:val="1"/>
    <w:semiHidden/>
    <w:qFormat/>
    <w:uiPriority w:val="0"/>
    <w:pPr>
      <w:spacing w:before="120"/>
    </w:pPr>
    <w:rPr>
      <w:rFonts w:ascii="Arial" w:hAnsi="Arial" w:cs="Arial"/>
      <w:sz w:val="24"/>
    </w:rPr>
  </w:style>
  <w:style w:type="paragraph" w:styleId="18">
    <w:name w:val="annotation text"/>
    <w:basedOn w:val="1"/>
    <w:qFormat/>
    <w:uiPriority w:val="0"/>
    <w:pPr>
      <w:jc w:val="left"/>
    </w:pPr>
  </w:style>
  <w:style w:type="paragraph" w:styleId="19">
    <w:name w:val="Body Text Indent"/>
    <w:basedOn w:val="1"/>
    <w:qFormat/>
    <w:uiPriority w:val="0"/>
    <w:pPr>
      <w:ind w:left="1620" w:leftChars="200" w:hanging="1200" w:hangingChars="500"/>
    </w:pPr>
    <w:rPr>
      <w:rFonts w:ascii="宋体" w:hAnsi="宋体"/>
      <w:sz w:val="24"/>
    </w:rPr>
  </w:style>
  <w:style w:type="paragraph" w:styleId="20">
    <w:name w:val="List 2"/>
    <w:basedOn w:val="1"/>
    <w:qFormat/>
    <w:uiPriority w:val="0"/>
    <w:pPr>
      <w:ind w:left="100" w:leftChars="200" w:hanging="200" w:hangingChars="200"/>
    </w:pPr>
    <w:rPr>
      <w:szCs w:val="20"/>
    </w:rPr>
  </w:style>
  <w:style w:type="paragraph" w:styleId="21">
    <w:name w:val="toc 5"/>
    <w:basedOn w:val="1"/>
    <w:next w:val="1"/>
    <w:semiHidden/>
    <w:qFormat/>
    <w:uiPriority w:val="0"/>
    <w:pPr>
      <w:ind w:left="1680" w:leftChars="800"/>
    </w:pPr>
  </w:style>
  <w:style w:type="paragraph" w:styleId="22">
    <w:name w:val="toc 3"/>
    <w:basedOn w:val="1"/>
    <w:next w:val="1"/>
    <w:semiHidden/>
    <w:qFormat/>
    <w:uiPriority w:val="0"/>
    <w:pPr>
      <w:tabs>
        <w:tab w:val="right" w:leader="dot" w:pos="8457"/>
      </w:tabs>
    </w:pPr>
    <w:rPr>
      <w:sz w:val="28"/>
    </w:rPr>
  </w:style>
  <w:style w:type="paragraph" w:styleId="23">
    <w:name w:val="Plain Text"/>
    <w:basedOn w:val="1"/>
    <w:link w:val="50"/>
    <w:qFormat/>
    <w:uiPriority w:val="0"/>
    <w:rPr>
      <w:rFonts w:ascii="宋体" w:hAnsi="Courier New"/>
      <w:szCs w:val="20"/>
    </w:rPr>
  </w:style>
  <w:style w:type="paragraph" w:styleId="24">
    <w:name w:val="toc 8"/>
    <w:basedOn w:val="1"/>
    <w:next w:val="1"/>
    <w:semiHidden/>
    <w:qFormat/>
    <w:uiPriority w:val="0"/>
    <w:pPr>
      <w:ind w:left="2940" w:leftChars="1400"/>
    </w:pPr>
  </w:style>
  <w:style w:type="paragraph" w:styleId="25">
    <w:name w:val="Date"/>
    <w:basedOn w:val="1"/>
    <w:next w:val="1"/>
    <w:qFormat/>
    <w:uiPriority w:val="0"/>
    <w:pPr>
      <w:ind w:left="100" w:leftChars="2500"/>
    </w:pPr>
    <w:rPr>
      <w:rFonts w:eastAsia="楷体_GB2312"/>
      <w:sz w:val="48"/>
    </w:rPr>
  </w:style>
  <w:style w:type="paragraph" w:styleId="26">
    <w:name w:val="Body Text Indent 2"/>
    <w:basedOn w:val="1"/>
    <w:qFormat/>
    <w:uiPriority w:val="0"/>
    <w:pPr>
      <w:ind w:left="1" w:firstLine="538" w:firstLineChars="192"/>
    </w:pPr>
    <w:rPr>
      <w:color w:val="000000"/>
      <w:sz w:val="28"/>
    </w:rPr>
  </w:style>
  <w:style w:type="paragraph" w:styleId="27">
    <w:name w:val="Balloon Text"/>
    <w:basedOn w:val="1"/>
    <w:semiHidden/>
    <w:qFormat/>
    <w:uiPriority w:val="0"/>
    <w:rPr>
      <w:sz w:val="18"/>
      <w:szCs w:val="18"/>
    </w:rPr>
  </w:style>
  <w:style w:type="paragraph" w:styleId="28">
    <w:name w:val="footer"/>
    <w:basedOn w:val="1"/>
    <w:link w:val="51"/>
    <w:qFormat/>
    <w:uiPriority w:val="0"/>
    <w:pPr>
      <w:tabs>
        <w:tab w:val="center" w:pos="4153"/>
        <w:tab w:val="right" w:pos="8306"/>
      </w:tabs>
      <w:autoSpaceDE w:val="0"/>
      <w:autoSpaceDN w:val="0"/>
      <w:adjustRightInd w:val="0"/>
      <w:snapToGrid w:val="0"/>
      <w:jc w:val="left"/>
    </w:pPr>
    <w:rPr>
      <w:rFonts w:ascii="宋体"/>
      <w:kern w:val="0"/>
      <w:sz w:val="18"/>
      <w:szCs w:val="18"/>
    </w:rPr>
  </w:style>
  <w:style w:type="paragraph" w:styleId="29">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autoSpaceDE w:val="0"/>
      <w:autoSpaceDN w:val="0"/>
      <w:adjustRightInd w:val="0"/>
      <w:spacing w:before="120" w:after="120"/>
      <w:jc w:val="left"/>
    </w:pPr>
    <w:rPr>
      <w:rFonts w:eastAsia="仿宋体"/>
      <w:b/>
      <w:caps/>
      <w:kern w:val="0"/>
      <w:sz w:val="20"/>
      <w:szCs w:val="20"/>
    </w:rPr>
  </w:style>
  <w:style w:type="paragraph" w:styleId="31">
    <w:name w:val="toc 4"/>
    <w:basedOn w:val="1"/>
    <w:next w:val="1"/>
    <w:semiHidden/>
    <w:qFormat/>
    <w:uiPriority w:val="0"/>
    <w:pPr>
      <w:ind w:left="1260" w:leftChars="600"/>
    </w:pPr>
  </w:style>
  <w:style w:type="paragraph" w:styleId="32">
    <w:name w:val="toc 6"/>
    <w:basedOn w:val="1"/>
    <w:next w:val="1"/>
    <w:semiHidden/>
    <w:qFormat/>
    <w:uiPriority w:val="0"/>
    <w:pPr>
      <w:ind w:left="2100" w:leftChars="1000"/>
    </w:pPr>
  </w:style>
  <w:style w:type="paragraph" w:styleId="33">
    <w:name w:val="List 5"/>
    <w:basedOn w:val="1"/>
    <w:qFormat/>
    <w:uiPriority w:val="0"/>
    <w:pPr>
      <w:ind w:left="100" w:leftChars="800" w:hanging="200" w:hangingChars="200"/>
    </w:pPr>
    <w:rPr>
      <w:szCs w:val="20"/>
    </w:rPr>
  </w:style>
  <w:style w:type="paragraph" w:styleId="34">
    <w:name w:val="Body Text Indent 3"/>
    <w:basedOn w:val="1"/>
    <w:qFormat/>
    <w:uiPriority w:val="0"/>
    <w:pPr>
      <w:ind w:firstLine="538" w:firstLineChars="192"/>
    </w:pPr>
    <w:rPr>
      <w:color w:val="000000"/>
      <w:sz w:val="28"/>
    </w:rPr>
  </w:style>
  <w:style w:type="paragraph" w:styleId="35">
    <w:name w:val="toc 2"/>
    <w:basedOn w:val="1"/>
    <w:next w:val="1"/>
    <w:semiHidden/>
    <w:qFormat/>
    <w:uiPriority w:val="0"/>
    <w:pPr>
      <w:ind w:left="420" w:leftChars="200"/>
    </w:pPr>
  </w:style>
  <w:style w:type="paragraph" w:styleId="36">
    <w:name w:val="toc 9"/>
    <w:basedOn w:val="1"/>
    <w:next w:val="1"/>
    <w:semiHidden/>
    <w:qFormat/>
    <w:uiPriority w:val="0"/>
    <w:pPr>
      <w:ind w:left="3360" w:leftChars="1600"/>
    </w:pPr>
  </w:style>
  <w:style w:type="paragraph" w:styleId="37">
    <w:name w:val="List 4"/>
    <w:basedOn w:val="1"/>
    <w:qFormat/>
    <w:uiPriority w:val="0"/>
    <w:pPr>
      <w:ind w:left="100" w:leftChars="600" w:hanging="200" w:hangingChars="200"/>
    </w:pPr>
    <w:rPr>
      <w:szCs w:val="20"/>
    </w:rPr>
  </w:style>
  <w:style w:type="paragraph" w:styleId="38">
    <w:name w:val="Normal (Web)"/>
    <w:basedOn w:val="1"/>
    <w:qFormat/>
    <w:uiPriority w:val="0"/>
    <w:pPr>
      <w:widowControl/>
      <w:spacing w:before="100" w:beforeAutospacing="1" w:after="100" w:afterAutospacing="1"/>
      <w:jc w:val="left"/>
    </w:pPr>
    <w:rPr>
      <w:rFonts w:ascii="宋体" w:hAnsi="宋体"/>
      <w:kern w:val="0"/>
      <w:sz w:val="24"/>
    </w:rPr>
  </w:style>
  <w:style w:type="paragraph" w:styleId="39">
    <w:name w:val="Title"/>
    <w:basedOn w:val="1"/>
    <w:next w:val="1"/>
    <w:link w:val="53"/>
    <w:qFormat/>
    <w:uiPriority w:val="0"/>
    <w:pPr>
      <w:spacing w:before="240" w:after="60"/>
      <w:jc w:val="center"/>
      <w:outlineLvl w:val="0"/>
    </w:pPr>
    <w:rPr>
      <w:rFonts w:ascii="Cambria" w:hAnsi="Cambria"/>
      <w:b/>
      <w:bCs/>
      <w:sz w:val="32"/>
      <w:szCs w:val="32"/>
    </w:rPr>
  </w:style>
  <w:style w:type="paragraph" w:styleId="40">
    <w:name w:val="Body Text First Indent"/>
    <w:basedOn w:val="2"/>
    <w:qFormat/>
    <w:uiPriority w:val="0"/>
    <w:pPr>
      <w:ind w:firstLine="420" w:firstLineChars="100"/>
    </w:pPr>
  </w:style>
  <w:style w:type="paragraph" w:styleId="41">
    <w:name w:val="Body Text First Indent 2"/>
    <w:basedOn w:val="19"/>
    <w:unhideWhenUsed/>
    <w:qFormat/>
    <w:uiPriority w:val="99"/>
    <w:pPr>
      <w:spacing w:after="120"/>
      <w:ind w:left="420" w:firstLine="420" w:firstLineChars="200"/>
    </w:pPr>
    <w:rPr>
      <w:sz w:val="21"/>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customStyle="1" w:styleId="49">
    <w:name w:val="NormalCharacter"/>
    <w:semiHidden/>
    <w:qFormat/>
    <w:uiPriority w:val="0"/>
    <w:rPr>
      <w:rFonts w:ascii="Times New Roman" w:hAnsi="Times New Roman" w:eastAsia="宋体" w:cs="Times New Roman"/>
      <w:sz w:val="24"/>
      <w:szCs w:val="21"/>
      <w:lang w:val="en-US" w:eastAsia="zh-CN" w:bidi="ar-SA"/>
    </w:rPr>
  </w:style>
  <w:style w:type="character" w:customStyle="1" w:styleId="50">
    <w:name w:val="纯文本 字符"/>
    <w:link w:val="23"/>
    <w:qFormat/>
    <w:uiPriority w:val="0"/>
    <w:rPr>
      <w:rFonts w:ascii="宋体" w:hAnsi="Courier New" w:eastAsia="宋体"/>
      <w:kern w:val="2"/>
      <w:sz w:val="21"/>
      <w:lang w:val="en-US" w:eastAsia="zh-CN" w:bidi="ar-SA"/>
    </w:rPr>
  </w:style>
  <w:style w:type="character" w:customStyle="1" w:styleId="51">
    <w:name w:val="页脚 字符"/>
    <w:link w:val="28"/>
    <w:qFormat/>
    <w:uiPriority w:val="0"/>
    <w:rPr>
      <w:rFonts w:ascii="宋体" w:eastAsia="宋体"/>
      <w:sz w:val="18"/>
      <w:szCs w:val="18"/>
      <w:lang w:val="en-US" w:eastAsia="zh-CN" w:bidi="ar-SA"/>
    </w:rPr>
  </w:style>
  <w:style w:type="character" w:customStyle="1" w:styleId="52">
    <w:name w:val="页眉 字符"/>
    <w:link w:val="29"/>
    <w:qFormat/>
    <w:uiPriority w:val="0"/>
    <w:rPr>
      <w:rFonts w:eastAsia="宋体"/>
      <w:kern w:val="2"/>
      <w:sz w:val="18"/>
      <w:szCs w:val="18"/>
      <w:lang w:val="en-US" w:eastAsia="zh-CN" w:bidi="ar-SA"/>
    </w:rPr>
  </w:style>
  <w:style w:type="character" w:customStyle="1" w:styleId="53">
    <w:name w:val="标题 字符"/>
    <w:link w:val="39"/>
    <w:qFormat/>
    <w:uiPriority w:val="0"/>
    <w:rPr>
      <w:rFonts w:ascii="Cambria" w:hAnsi="Cambria"/>
      <w:b/>
      <w:bCs/>
      <w:kern w:val="2"/>
      <w:sz w:val="32"/>
      <w:szCs w:val="32"/>
    </w:rPr>
  </w:style>
  <w:style w:type="character" w:customStyle="1" w:styleId="54">
    <w:name w:val="005"/>
    <w:semiHidden/>
    <w:qFormat/>
    <w:uiPriority w:val="0"/>
    <w:rPr>
      <w:sz w:val="21"/>
      <w:szCs w:val="21"/>
    </w:rPr>
  </w:style>
  <w:style w:type="character" w:customStyle="1" w:styleId="55">
    <w:name w:val="font11"/>
    <w:qFormat/>
    <w:uiPriority w:val="0"/>
    <w:rPr>
      <w:rFonts w:hint="eastAsia" w:ascii="宋体" w:hAnsi="宋体" w:eastAsia="宋体" w:cs="宋体"/>
      <w:color w:val="000000"/>
      <w:sz w:val="18"/>
      <w:szCs w:val="18"/>
      <w:u w:val="none"/>
    </w:rPr>
  </w:style>
  <w:style w:type="character" w:customStyle="1" w:styleId="56">
    <w:name w:val="Char Char16"/>
    <w:qFormat/>
    <w:uiPriority w:val="0"/>
    <w:rPr>
      <w:rFonts w:eastAsia="宋体"/>
      <w:kern w:val="2"/>
      <w:sz w:val="18"/>
      <w:szCs w:val="18"/>
      <w:lang w:val="en-US" w:eastAsia="zh-CN" w:bidi="ar-SA"/>
    </w:rPr>
  </w:style>
  <w:style w:type="character" w:customStyle="1" w:styleId="57">
    <w:name w:val="Char Char5"/>
    <w:qFormat/>
    <w:uiPriority w:val="0"/>
    <w:rPr>
      <w:rFonts w:ascii="宋体" w:hAnsi="Courier New" w:eastAsia="宋体"/>
      <w:kern w:val="2"/>
      <w:sz w:val="21"/>
      <w:lang w:val="en-US" w:eastAsia="zh-CN" w:bidi="ar-SA"/>
    </w:rPr>
  </w:style>
  <w:style w:type="character" w:customStyle="1" w:styleId="58">
    <w:name w:val="font41"/>
    <w:qFormat/>
    <w:uiPriority w:val="0"/>
    <w:rPr>
      <w:rFonts w:ascii="等线" w:hAnsi="等线" w:eastAsia="等线" w:cs="等线"/>
      <w:color w:val="000000"/>
      <w:sz w:val="18"/>
      <w:szCs w:val="18"/>
      <w:u w:val="none"/>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首行缩进"/>
    <w:basedOn w:val="1"/>
    <w:qFormat/>
    <w:uiPriority w:val="0"/>
    <w:pPr>
      <w:spacing w:line="360" w:lineRule="auto"/>
      <w:ind w:firstLine="480" w:firstLineChars="200"/>
    </w:pPr>
    <w:rPr>
      <w:sz w:val="24"/>
      <w:szCs w:val="22"/>
      <w:lang w:val="zh-CN"/>
    </w:rPr>
  </w:style>
  <w:style w:type="paragraph" w:customStyle="1" w:styleId="61">
    <w:name w:val="列出段落1"/>
    <w:basedOn w:val="1"/>
    <w:qFormat/>
    <w:uiPriority w:val="34"/>
    <w:pPr>
      <w:ind w:firstLine="420" w:firstLineChars="200"/>
    </w:pPr>
  </w:style>
  <w:style w:type="paragraph" w:customStyle="1" w:styleId="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3">
    <w:name w:val="正文文本缩进 31"/>
    <w:basedOn w:val="1"/>
    <w:qFormat/>
    <w:uiPriority w:val="0"/>
    <w:pPr>
      <w:adjustRightInd w:val="0"/>
      <w:ind w:firstLine="562"/>
      <w:textAlignment w:val="baseline"/>
    </w:pPr>
    <w:rPr>
      <w:rFonts w:ascii="宋体" w:hAnsi="宋体"/>
      <w:b/>
      <w:sz w:val="28"/>
      <w:szCs w:val="20"/>
    </w:rPr>
  </w:style>
  <w:style w:type="paragraph" w:customStyle="1" w:styleId="64">
    <w:name w:val="列表段落1"/>
    <w:basedOn w:val="1"/>
    <w:qFormat/>
    <w:uiPriority w:val="0"/>
    <w:pPr>
      <w:ind w:firstLine="420" w:firstLineChars="200"/>
    </w:pPr>
    <w:rPr>
      <w:szCs w:val="20"/>
    </w:rPr>
  </w:style>
  <w:style w:type="paragraph" w:customStyle="1" w:styleId="65">
    <w:name w:val="Style Heading 4 + 黑体"/>
    <w:basedOn w:val="7"/>
    <w:qFormat/>
    <w:uiPriority w:val="0"/>
    <w:pPr>
      <w:numPr>
        <w:ilvl w:val="0"/>
        <w:numId w:val="0"/>
      </w:numPr>
      <w:spacing w:before="40" w:after="50"/>
    </w:pPr>
    <w:rPr>
      <w:rFonts w:ascii="黑体" w:hAnsi="黑体"/>
    </w:rPr>
  </w:style>
  <w:style w:type="paragraph" w:customStyle="1" w:styleId="66">
    <w:name w:val="样式1"/>
    <w:basedOn w:val="1"/>
    <w:qFormat/>
    <w:uiPriority w:val="0"/>
    <w:pPr>
      <w:adjustRightInd w:val="0"/>
      <w:spacing w:line="440" w:lineRule="atLeast"/>
      <w:jc w:val="left"/>
      <w:textAlignment w:val="baseline"/>
    </w:pPr>
    <w:rPr>
      <w:kern w:val="0"/>
      <w:sz w:val="28"/>
      <w:szCs w:val="20"/>
    </w:rPr>
  </w:style>
  <w:style w:type="paragraph" w:customStyle="1" w:styleId="67">
    <w:name w:val="正文1"/>
    <w:basedOn w:val="1"/>
    <w:qFormat/>
    <w:uiPriority w:val="0"/>
    <w:pPr>
      <w:adjustRightInd w:val="0"/>
      <w:spacing w:before="60" w:after="60" w:line="360" w:lineRule="auto"/>
      <w:textAlignment w:val="baseline"/>
    </w:pPr>
    <w:rPr>
      <w:rFonts w:ascii="Arial" w:hAnsi="Arial"/>
      <w:szCs w:val="20"/>
    </w:rPr>
  </w:style>
  <w:style w:type="paragraph" w:customStyle="1" w:styleId="68">
    <w:name w:val="正文4"/>
    <w:basedOn w:val="1"/>
    <w:qFormat/>
    <w:uiPriority w:val="0"/>
    <w:pPr>
      <w:spacing w:line="360" w:lineRule="auto"/>
      <w:ind w:left="400" w:leftChars="400"/>
    </w:pPr>
    <w:rPr>
      <w:rFonts w:ascii="宋体"/>
      <w:sz w:val="24"/>
    </w:rPr>
  </w:style>
  <w:style w:type="paragraph" w:customStyle="1" w:styleId="69">
    <w:name w:val="样式 标题 2heading 2Heading 2 Hiddenh2ActivityMain headerl2Fr..."/>
    <w:basedOn w:val="5"/>
    <w:qFormat/>
    <w:uiPriority w:val="0"/>
    <w:pPr>
      <w:widowControl/>
      <w:pBdr>
        <w:top w:val="single" w:color="auto" w:sz="48" w:space="4"/>
      </w:pBdr>
      <w:overflowPunct w:val="0"/>
      <w:autoSpaceDE w:val="0"/>
      <w:autoSpaceDN w:val="0"/>
      <w:adjustRightInd w:val="0"/>
      <w:spacing w:before="240" w:after="240" w:line="240" w:lineRule="auto"/>
      <w:ind w:right="1247" w:rightChars="1247"/>
      <w:jc w:val="left"/>
      <w:textAlignment w:val="baseline"/>
    </w:pPr>
    <w:rPr>
      <w:rFonts w:hAnsi="Arial"/>
      <w:bCs w:val="0"/>
      <w:kern w:val="0"/>
      <w:sz w:val="36"/>
      <w:szCs w:val="20"/>
    </w:rPr>
  </w:style>
  <w:style w:type="paragraph" w:customStyle="1" w:styleId="70">
    <w:name w:val="Char1"/>
    <w:basedOn w:val="1"/>
    <w:qFormat/>
    <w:uiPriority w:val="0"/>
    <w:pPr>
      <w:widowControl/>
      <w:spacing w:after="160" w:line="240" w:lineRule="exact"/>
      <w:jc w:val="left"/>
    </w:pPr>
  </w:style>
  <w:style w:type="paragraph" w:customStyle="1" w:styleId="71">
    <w:name w:val="7"/>
    <w:basedOn w:val="1"/>
    <w:qFormat/>
    <w:uiPriority w:val="0"/>
    <w:pPr>
      <w:widowControl/>
      <w:tabs>
        <w:tab w:val="left" w:pos="425"/>
      </w:tabs>
      <w:spacing w:before="312" w:beforeLines="100" w:after="160" w:line="240" w:lineRule="exact"/>
      <w:ind w:left="425" w:hanging="425"/>
      <w:jc w:val="left"/>
    </w:pPr>
    <w:rPr>
      <w:szCs w:val="20"/>
    </w:rPr>
  </w:style>
  <w:style w:type="paragraph" w:customStyle="1" w:styleId="72">
    <w:name w:val="Title Bar"/>
    <w:basedOn w:val="1"/>
    <w:qFormat/>
    <w:uiPriority w:val="0"/>
    <w:pPr>
      <w:keepNext/>
      <w:pageBreakBefore/>
      <w:widowControl/>
      <w:shd w:val="solid" w:color="auto" w:fill="auto"/>
      <w:overflowPunct w:val="0"/>
      <w:autoSpaceDE w:val="0"/>
      <w:autoSpaceDN w:val="0"/>
      <w:adjustRightInd w:val="0"/>
      <w:spacing w:before="1680"/>
      <w:ind w:left="2520" w:right="720"/>
      <w:jc w:val="left"/>
      <w:textAlignment w:val="baseline"/>
    </w:pPr>
    <w:rPr>
      <w:rFonts w:ascii="Book Antiqua" w:hAnsi="Book Antiqua"/>
      <w:kern w:val="0"/>
      <w:sz w:val="36"/>
      <w:szCs w:val="20"/>
    </w:rPr>
  </w:style>
  <w:style w:type="paragraph" w:customStyle="1" w:styleId="73">
    <w:name w:val="样式 标题 3 + (中文) 黑体 小四 非加粗 段前: 7.8 磅 段后: 0 磅 行距: 固定值 20 磅"/>
    <w:basedOn w:val="6"/>
    <w:qFormat/>
    <w:uiPriority w:val="0"/>
    <w:pPr>
      <w:spacing w:before="0" w:after="0" w:line="400" w:lineRule="exact"/>
    </w:pPr>
    <w:rPr>
      <w:rFonts w:eastAsia="黑体" w:cs="宋体"/>
      <w:b w:val="0"/>
      <w:bCs w:val="0"/>
      <w:szCs w:val="20"/>
    </w:rPr>
  </w:style>
  <w:style w:type="paragraph" w:customStyle="1" w:styleId="74">
    <w:name w:val="p1"/>
    <w:basedOn w:val="1"/>
    <w:qFormat/>
    <w:uiPriority w:val="0"/>
    <w:pPr>
      <w:spacing w:line="30" w:lineRule="atLeast"/>
      <w:jc w:val="center"/>
    </w:pPr>
    <w:rPr>
      <w:rFonts w:ascii="宋体" w:hAnsi="宋体"/>
      <w:kern w:val="0"/>
      <w:sz w:val="28"/>
      <w:szCs w:val="28"/>
    </w:rPr>
  </w:style>
  <w:style w:type="paragraph" w:customStyle="1" w:styleId="75">
    <w:name w:val="抬头"/>
    <w:basedOn w:val="1"/>
    <w:qFormat/>
    <w:uiPriority w:val="0"/>
    <w:pPr>
      <w:spacing w:before="50" w:beforeLines="50" w:line="360" w:lineRule="auto"/>
    </w:pPr>
    <w:rPr>
      <w:rFonts w:ascii="宋体"/>
      <w:sz w:val="24"/>
    </w:rPr>
  </w:style>
  <w:style w:type="paragraph" w:customStyle="1" w:styleId="76">
    <w:name w:val="tty80"/>
    <w:basedOn w:val="1"/>
    <w:qFormat/>
    <w:uiPriority w:val="0"/>
    <w:pPr>
      <w:widowControl/>
      <w:overflowPunct w:val="0"/>
      <w:autoSpaceDE w:val="0"/>
      <w:autoSpaceDN w:val="0"/>
      <w:adjustRightInd w:val="0"/>
      <w:jc w:val="left"/>
      <w:textAlignment w:val="baseline"/>
    </w:pPr>
    <w:rPr>
      <w:rFonts w:ascii="Courier New" w:hAnsi="Courier New"/>
      <w:kern w:val="0"/>
      <w:sz w:val="20"/>
      <w:szCs w:val="20"/>
    </w:rPr>
  </w:style>
  <w:style w:type="paragraph" w:customStyle="1" w:styleId="77">
    <w:name w:val="样式 标题 2 + Times New Roman 四号 非加粗 段前: 5 磅 段后: 0 磅 行距: 固定值 20..."/>
    <w:basedOn w:val="5"/>
    <w:qFormat/>
    <w:uiPriority w:val="0"/>
    <w:pPr>
      <w:spacing w:before="100" w:after="0" w:line="400" w:lineRule="exact"/>
      <w:jc w:val="both"/>
    </w:pPr>
    <w:rPr>
      <w:rFonts w:ascii="Times New Roman" w:hAnsi="Times New Roman" w:cs="宋体"/>
      <w:bCs w:val="0"/>
      <w:sz w:val="28"/>
      <w:szCs w:val="20"/>
    </w:rPr>
  </w:style>
  <w:style w:type="paragraph" w:customStyle="1" w:styleId="78">
    <w:name w:val="Absatz2AL"/>
    <w:basedOn w:val="2"/>
    <w:next w:val="1"/>
    <w:qFormat/>
    <w:uiPriority w:val="0"/>
    <w:pPr>
      <w:widowControl/>
      <w:overflowPunct w:val="0"/>
      <w:autoSpaceDE w:val="0"/>
      <w:autoSpaceDN w:val="0"/>
      <w:adjustRightInd w:val="0"/>
      <w:spacing w:after="0"/>
    </w:pPr>
    <w:rPr>
      <w:rFonts w:eastAsia="楷体_GB2312"/>
      <w:kern w:val="0"/>
      <w:sz w:val="24"/>
      <w:szCs w:val="20"/>
      <w:lang w:val="de-DE"/>
    </w:rPr>
  </w:style>
  <w:style w:type="paragraph" w:customStyle="1" w:styleId="79">
    <w:name w:val="表格"/>
    <w:basedOn w:val="1"/>
    <w:qFormat/>
    <w:uiPriority w:val="0"/>
    <w:pPr>
      <w:jc w:val="center"/>
      <w:textAlignment w:val="center"/>
    </w:pPr>
    <w:rPr>
      <w:rFonts w:ascii="华文细黑" w:hAnsi="华文细黑"/>
      <w:kern w:val="0"/>
      <w:szCs w:val="20"/>
    </w:rPr>
  </w:style>
  <w:style w:type="paragraph" w:styleId="80">
    <w:name w:val="List Paragraph"/>
    <w:basedOn w:val="1"/>
    <w:qFormat/>
    <w:uiPriority w:val="99"/>
    <w:pPr>
      <w:ind w:firstLine="420" w:firstLineChars="200"/>
    </w:pPr>
  </w:style>
  <w:style w:type="paragraph" w:customStyle="1" w:styleId="81">
    <w:name w:val="Heading Bar"/>
    <w:basedOn w:val="1"/>
    <w:next w:val="6"/>
    <w:qFormat/>
    <w:uiPriority w:val="0"/>
    <w:pPr>
      <w:keepNext/>
      <w:keepLines/>
      <w:widowControl/>
      <w:shd w:val="solid" w:color="auto" w:fill="auto"/>
      <w:overflowPunct w:val="0"/>
      <w:autoSpaceDE w:val="0"/>
      <w:autoSpaceDN w:val="0"/>
      <w:adjustRightInd w:val="0"/>
      <w:spacing w:before="240"/>
      <w:ind w:right="7589"/>
      <w:jc w:val="left"/>
      <w:textAlignment w:val="baseline"/>
    </w:pPr>
    <w:rPr>
      <w:rFonts w:ascii="Book Antiqua" w:hAnsi="Book Antiqua"/>
      <w:color w:val="FFFFFF"/>
      <w:kern w:val="0"/>
      <w:sz w:val="8"/>
      <w:szCs w:val="20"/>
    </w:rPr>
  </w:style>
  <w:style w:type="paragraph" w:customStyle="1" w:styleId="82">
    <w:name w:val="Char Char Char Char Char Char Char"/>
    <w:basedOn w:val="1"/>
    <w:qFormat/>
    <w:uiPriority w:val="0"/>
    <w:rPr>
      <w:rFonts w:ascii="Tahoma" w:hAnsi="Tahoma"/>
      <w:sz w:val="24"/>
      <w:szCs w:val="20"/>
    </w:rPr>
  </w:style>
  <w:style w:type="table" w:customStyle="1" w:styleId="83">
    <w:name w:val="Table Normal"/>
    <w:unhideWhenUsed/>
    <w:qFormat/>
    <w:uiPriority w:val="0"/>
    <w:tblPr>
      <w:tblCellMar>
        <w:top w:w="0" w:type="dxa"/>
        <w:left w:w="0" w:type="dxa"/>
        <w:bottom w:w="0" w:type="dxa"/>
        <w:right w:w="0" w:type="dxa"/>
      </w:tblCellMar>
    </w:tblPr>
  </w:style>
  <w:style w:type="paragraph" w:customStyle="1" w:styleId="84">
    <w:name w:val="无间隔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标准样式ty"/>
    <w:basedOn w:val="1"/>
    <w:qFormat/>
    <w:uiPriority w:val="0"/>
    <w:pPr>
      <w:spacing w:line="360" w:lineRule="auto"/>
      <w:ind w:firstLine="480" w:firstLineChars="200"/>
    </w:pPr>
    <w:rPr>
      <w:rFonts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3297</Words>
  <Characters>18796</Characters>
  <Lines>156</Lines>
  <Paragraphs>44</Paragraphs>
  <TotalTime>330</TotalTime>
  <ScaleCrop>false</ScaleCrop>
  <LinksUpToDate>false</LinksUpToDate>
  <CharactersWithSpaces>22049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2022-12-01T03:33:00Z</dcterms:created>
  <cp:lastPrinted>2022-03-14T02:57:00Z</cp:lastPrinted>
  <dcterms:modified xsi:type="dcterms:W3CDTF">2023-12-28T07:30:02Z</dcterms:modified>
  <dc:title>昆明钢铁集团有限责任公司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E47F487F6D48459E901B451664C5FA3A_13</vt:lpwstr>
  </property>
</Properties>
</file>